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AB9C0" w14:textId="5F3AE590" w:rsidR="001618E5" w:rsidRPr="004F1E3E" w:rsidRDefault="00BD467B" w:rsidP="00D51AED">
      <w:pPr>
        <w:pStyle w:val="Title"/>
        <w:spacing w:after="120"/>
        <w:ind w:firstLine="720"/>
        <w:jc w:val="center"/>
        <w:rPr>
          <w:color w:val="4E9747" w:themeColor="accent4" w:themeShade="BF"/>
          <w:sz w:val="48"/>
          <w:lang w:val="en-GB"/>
        </w:rPr>
      </w:pPr>
      <w:r w:rsidRPr="00FE5C2E">
        <w:rPr>
          <w:sz w:val="48"/>
          <w:lang w:val="en-GB"/>
        </w:rPr>
        <w:t>I</w:t>
      </w:r>
      <w:bookmarkStart w:id="0" w:name="_Ref428539355"/>
      <w:bookmarkEnd w:id="0"/>
      <w:r w:rsidRPr="00FE5C2E">
        <w:rPr>
          <w:sz w:val="48"/>
          <w:lang w:val="en-GB"/>
        </w:rPr>
        <w:t xml:space="preserve">mplementation of </w:t>
      </w:r>
      <w:r w:rsidR="00385A62" w:rsidRPr="00FE5C2E">
        <w:rPr>
          <w:sz w:val="48"/>
          <w:lang w:val="en-GB"/>
        </w:rPr>
        <w:br/>
      </w:r>
      <w:r w:rsidRPr="00FE5C2E">
        <w:rPr>
          <w:sz w:val="48"/>
          <w:lang w:val="en-GB"/>
        </w:rPr>
        <w:t xml:space="preserve">the </w:t>
      </w:r>
      <w:r w:rsidR="00E841CB" w:rsidRPr="00FE5C2E">
        <w:rPr>
          <w:sz w:val="48"/>
          <w:lang w:val="en-GB"/>
        </w:rPr>
        <w:t>Public Financial Management Roadmap</w:t>
      </w:r>
      <w:r w:rsidRPr="00FE5C2E">
        <w:rPr>
          <w:sz w:val="48"/>
          <w:lang w:val="en-GB"/>
        </w:rPr>
        <w:t xml:space="preserve"> II</w:t>
      </w:r>
      <w:r w:rsidR="004F1E3E">
        <w:rPr>
          <w:sz w:val="48"/>
          <w:lang w:val="en-GB"/>
        </w:rPr>
        <w:t xml:space="preserve"> – </w:t>
      </w:r>
      <w:r w:rsidR="00BA6D6E">
        <w:rPr>
          <w:color w:val="4E9747" w:themeColor="accent4" w:themeShade="BF"/>
          <w:sz w:val="48"/>
          <w:lang w:val="en-GB"/>
        </w:rPr>
        <w:t>The In</w:t>
      </w:r>
      <w:r w:rsidR="004F1E3E" w:rsidRPr="004F1E3E">
        <w:rPr>
          <w:color w:val="4E9747" w:themeColor="accent4" w:themeShade="BF"/>
          <w:sz w:val="48"/>
          <w:lang w:val="en-GB"/>
        </w:rPr>
        <w:t>a</w:t>
      </w:r>
      <w:r w:rsidR="00BA6D6E">
        <w:rPr>
          <w:color w:val="4E9747" w:themeColor="accent4" w:themeShade="BF"/>
          <w:sz w:val="48"/>
          <w:lang w:val="en-GB"/>
        </w:rPr>
        <w:t>u</w:t>
      </w:r>
      <w:r w:rsidR="004F1E3E" w:rsidRPr="004F1E3E">
        <w:rPr>
          <w:color w:val="4E9747" w:themeColor="accent4" w:themeShade="BF"/>
          <w:sz w:val="48"/>
          <w:lang w:val="en-GB"/>
        </w:rPr>
        <w:t>gural 5-Year Rolling plan</w:t>
      </w:r>
    </w:p>
    <w:p w14:paraId="7AB4BA49" w14:textId="1A670074" w:rsidR="00E841CB" w:rsidRPr="00FE5C2E" w:rsidRDefault="00E841CB" w:rsidP="002A7498">
      <w:pPr>
        <w:pStyle w:val="Subtitle"/>
        <w:spacing w:after="120"/>
        <w:jc w:val="center"/>
        <w:rPr>
          <w:sz w:val="44"/>
          <w:lang w:val="en-GB"/>
        </w:rPr>
      </w:pPr>
    </w:p>
    <w:p w14:paraId="340B7F72" w14:textId="71709052" w:rsidR="0031775A" w:rsidRPr="00A4642A" w:rsidRDefault="001A7D59" w:rsidP="00A4642A">
      <w:pPr>
        <w:pStyle w:val="Subtitle"/>
        <w:spacing w:after="120"/>
        <w:jc w:val="center"/>
      </w:pPr>
      <w:r>
        <w:t>Ministry of Finance Delivering:</w:t>
      </w:r>
      <w:r w:rsidR="002E687B">
        <w:t xml:space="preserve"> </w:t>
      </w:r>
      <w:r w:rsidR="00A4642A">
        <w:t xml:space="preserve"> </w:t>
      </w:r>
    </w:p>
    <w:p w14:paraId="1E4BA13B" w14:textId="2DA1D23F" w:rsidR="0031775A" w:rsidRDefault="0031775A" w:rsidP="0060452C">
      <w:pPr>
        <w:pStyle w:val="Subtitle"/>
        <w:spacing w:after="120"/>
        <w:jc w:val="center"/>
        <w:rPr>
          <w:color w:val="4E9747" w:themeColor="accent4" w:themeShade="BF"/>
        </w:rPr>
      </w:pPr>
      <w:r>
        <w:rPr>
          <w:color w:val="4E9747" w:themeColor="accent4" w:themeShade="BF"/>
        </w:rPr>
        <w:t>E</w:t>
      </w:r>
      <w:r w:rsidRPr="0031775A">
        <w:rPr>
          <w:color w:val="4E9747" w:themeColor="accent4" w:themeShade="BF"/>
        </w:rPr>
        <w:t>fficient a</w:t>
      </w:r>
      <w:r>
        <w:rPr>
          <w:color w:val="4E9747" w:themeColor="accent4" w:themeShade="BF"/>
        </w:rPr>
        <w:t>nd effective public services;</w:t>
      </w:r>
    </w:p>
    <w:p w14:paraId="7F96EDA0" w14:textId="3E8CDCA4" w:rsidR="0031775A" w:rsidRDefault="0031775A" w:rsidP="0060452C">
      <w:pPr>
        <w:pStyle w:val="Subtitle"/>
        <w:spacing w:after="120"/>
        <w:jc w:val="center"/>
        <w:rPr>
          <w:color w:val="4E9747" w:themeColor="accent4" w:themeShade="BF"/>
        </w:rPr>
      </w:pPr>
      <w:r>
        <w:rPr>
          <w:color w:val="4E9747" w:themeColor="accent4" w:themeShade="BF"/>
        </w:rPr>
        <w:t>S</w:t>
      </w:r>
      <w:r w:rsidRPr="0031775A">
        <w:rPr>
          <w:color w:val="4E9747" w:themeColor="accent4" w:themeShade="BF"/>
        </w:rPr>
        <w:t>t</w:t>
      </w:r>
      <w:r w:rsidR="00A4642A">
        <w:rPr>
          <w:color w:val="4E9747" w:themeColor="accent4" w:themeShade="BF"/>
        </w:rPr>
        <w:t>rong</w:t>
      </w:r>
      <w:r w:rsidRPr="0031775A">
        <w:rPr>
          <w:color w:val="4E9747" w:themeColor="accent4" w:themeShade="BF"/>
        </w:rPr>
        <w:t xml:space="preserve"> fiscal discipline</w:t>
      </w:r>
      <w:r>
        <w:rPr>
          <w:color w:val="4E9747" w:themeColor="accent4" w:themeShade="BF"/>
        </w:rPr>
        <w:t>;</w:t>
      </w:r>
      <w:r w:rsidRPr="0031775A">
        <w:rPr>
          <w:color w:val="4E9747" w:themeColor="accent4" w:themeShade="BF"/>
        </w:rPr>
        <w:t xml:space="preserve"> and </w:t>
      </w:r>
    </w:p>
    <w:p w14:paraId="7E82C880" w14:textId="382519F9" w:rsidR="0031775A" w:rsidRPr="0031775A" w:rsidRDefault="0031775A" w:rsidP="0031775A">
      <w:pPr>
        <w:pStyle w:val="Subtitle"/>
        <w:spacing w:after="120"/>
        <w:jc w:val="center"/>
        <w:rPr>
          <w:color w:val="4E9747" w:themeColor="accent4" w:themeShade="BF"/>
        </w:rPr>
      </w:pPr>
      <w:r>
        <w:rPr>
          <w:color w:val="4E9747" w:themeColor="accent4" w:themeShade="BF"/>
        </w:rPr>
        <w:t>S</w:t>
      </w:r>
      <w:r w:rsidRPr="0031775A">
        <w:rPr>
          <w:color w:val="4E9747" w:themeColor="accent4" w:themeShade="BF"/>
        </w:rPr>
        <w:t>trategic fiscal policy</w:t>
      </w:r>
    </w:p>
    <w:p w14:paraId="6D9DD557" w14:textId="77777777" w:rsidR="0060452C" w:rsidRPr="00FE5C2E" w:rsidRDefault="0060452C" w:rsidP="0060452C">
      <w:pPr>
        <w:pStyle w:val="Author"/>
        <w:rPr>
          <w:lang w:val="en-GB"/>
        </w:rPr>
      </w:pPr>
    </w:p>
    <w:p w14:paraId="5B0E5920" w14:textId="77777777" w:rsidR="001618E5" w:rsidRDefault="00DC0C3F" w:rsidP="00DC0C3F">
      <w:pPr>
        <w:pBdr>
          <w:top w:val="single" w:sz="4" w:space="1" w:color="auto"/>
          <w:left w:val="single" w:sz="4" w:space="1" w:color="auto"/>
          <w:bottom w:val="single" w:sz="4" w:space="1" w:color="auto"/>
          <w:right w:val="single" w:sz="4" w:space="4" w:color="auto"/>
        </w:pBdr>
        <w:shd w:val="clear" w:color="auto" w:fill="E3F1E1" w:themeFill="accent4" w:themeFillTint="33"/>
        <w:jc w:val="center"/>
        <w:rPr>
          <w:rFonts w:asciiTheme="minorHAnsi" w:hAnsiTheme="minorHAnsi"/>
          <w:b/>
          <w:sz w:val="21"/>
        </w:rPr>
      </w:pPr>
      <w:r w:rsidRPr="00DC0C3F">
        <w:rPr>
          <w:rFonts w:asciiTheme="minorHAnsi" w:hAnsiTheme="minorHAnsi"/>
          <w:b/>
          <w:sz w:val="21"/>
        </w:rPr>
        <w:t>Abstract</w:t>
      </w:r>
    </w:p>
    <w:p w14:paraId="400425A9" w14:textId="77777777" w:rsidR="007A5BF2" w:rsidRDefault="007A5BF2" w:rsidP="00DC0C3F">
      <w:pPr>
        <w:pBdr>
          <w:top w:val="single" w:sz="4" w:space="1" w:color="auto"/>
          <w:left w:val="single" w:sz="4" w:space="1" w:color="auto"/>
          <w:bottom w:val="single" w:sz="4" w:space="1" w:color="auto"/>
          <w:right w:val="single" w:sz="4" w:space="4" w:color="auto"/>
        </w:pBdr>
        <w:shd w:val="clear" w:color="auto" w:fill="E3F1E1" w:themeFill="accent4" w:themeFillTint="33"/>
        <w:jc w:val="center"/>
        <w:rPr>
          <w:rFonts w:asciiTheme="minorHAnsi" w:hAnsiTheme="minorHAnsi"/>
          <w:b/>
          <w:sz w:val="21"/>
        </w:rPr>
      </w:pPr>
    </w:p>
    <w:p w14:paraId="2BCFDE4D" w14:textId="1254C07A" w:rsidR="007A5BF2" w:rsidRPr="009530B1" w:rsidRDefault="007A5BF2" w:rsidP="009530B1">
      <w:pPr>
        <w:pBdr>
          <w:top w:val="single" w:sz="4" w:space="1" w:color="auto"/>
          <w:left w:val="single" w:sz="4" w:space="1" w:color="auto"/>
          <w:bottom w:val="single" w:sz="4" w:space="1" w:color="auto"/>
          <w:right w:val="single" w:sz="4" w:space="4" w:color="auto"/>
        </w:pBdr>
        <w:shd w:val="clear" w:color="auto" w:fill="E3F1E1" w:themeFill="accent4" w:themeFillTint="33"/>
        <w:rPr>
          <w:rFonts w:asciiTheme="minorHAnsi" w:hAnsiTheme="minorHAnsi"/>
          <w:sz w:val="21"/>
        </w:rPr>
      </w:pPr>
      <w:r w:rsidRPr="009530B1">
        <w:rPr>
          <w:rFonts w:asciiTheme="minorHAnsi" w:hAnsiTheme="minorHAnsi"/>
          <w:b/>
          <w:sz w:val="21"/>
        </w:rPr>
        <w:t>This is the inaugural 5-year rolling Fiscal Performance Improvement Plan by the Government of Afghanistan.</w:t>
      </w:r>
      <w:r w:rsidRPr="009530B1">
        <w:rPr>
          <w:rFonts w:asciiTheme="minorHAnsi" w:hAnsiTheme="minorHAnsi"/>
          <w:sz w:val="21"/>
        </w:rPr>
        <w:t xml:space="preserve"> It is the vehicle for the implementation of the Public Finance Management Roadmap II and presents a sequenced team based plan for</w:t>
      </w:r>
      <w:r w:rsidR="000D04D3" w:rsidRPr="009530B1">
        <w:rPr>
          <w:rFonts w:asciiTheme="minorHAnsi" w:hAnsiTheme="minorHAnsi"/>
          <w:sz w:val="21"/>
        </w:rPr>
        <w:t xml:space="preserve"> reforms within a performance </w:t>
      </w:r>
      <w:r w:rsidRPr="009530B1">
        <w:rPr>
          <w:rFonts w:asciiTheme="minorHAnsi" w:hAnsiTheme="minorHAnsi"/>
          <w:sz w:val="21"/>
        </w:rPr>
        <w:t>management framework.</w:t>
      </w:r>
    </w:p>
    <w:p w14:paraId="32E616C4" w14:textId="77777777" w:rsidR="007A5BF2" w:rsidRPr="009530B1" w:rsidRDefault="007A5BF2" w:rsidP="009530B1">
      <w:pPr>
        <w:pBdr>
          <w:top w:val="single" w:sz="4" w:space="1" w:color="auto"/>
          <w:left w:val="single" w:sz="4" w:space="1" w:color="auto"/>
          <w:bottom w:val="single" w:sz="4" w:space="1" w:color="auto"/>
          <w:right w:val="single" w:sz="4" w:space="4" w:color="auto"/>
        </w:pBdr>
        <w:shd w:val="clear" w:color="auto" w:fill="E3F1E1" w:themeFill="accent4" w:themeFillTint="33"/>
        <w:rPr>
          <w:rFonts w:asciiTheme="minorHAnsi" w:hAnsiTheme="minorHAnsi"/>
          <w:sz w:val="21"/>
        </w:rPr>
      </w:pPr>
    </w:p>
    <w:p w14:paraId="09D3D062" w14:textId="6C9CF762" w:rsidR="0044060C" w:rsidRPr="009530B1" w:rsidRDefault="007A5BF2" w:rsidP="009530B1">
      <w:pPr>
        <w:pBdr>
          <w:top w:val="single" w:sz="4" w:space="1" w:color="auto"/>
          <w:left w:val="single" w:sz="4" w:space="1" w:color="auto"/>
          <w:bottom w:val="single" w:sz="4" w:space="1" w:color="auto"/>
          <w:right w:val="single" w:sz="4" w:space="4" w:color="auto"/>
        </w:pBdr>
        <w:shd w:val="clear" w:color="auto" w:fill="E3F1E1" w:themeFill="accent4" w:themeFillTint="33"/>
        <w:rPr>
          <w:rFonts w:asciiTheme="minorHAnsi" w:hAnsiTheme="minorHAnsi"/>
          <w:sz w:val="21"/>
        </w:rPr>
      </w:pPr>
      <w:r w:rsidRPr="009530B1">
        <w:rPr>
          <w:rFonts w:asciiTheme="minorHAnsi" w:hAnsiTheme="minorHAnsi"/>
          <w:b/>
          <w:sz w:val="21"/>
        </w:rPr>
        <w:t xml:space="preserve">The development of this plan has been a Government driven process with a high degree of ownership over the proposed </w:t>
      </w:r>
      <w:r w:rsidR="00716C46" w:rsidRPr="009530B1">
        <w:rPr>
          <w:rFonts w:asciiTheme="minorHAnsi" w:hAnsiTheme="minorHAnsi"/>
          <w:b/>
          <w:sz w:val="21"/>
        </w:rPr>
        <w:t xml:space="preserve">reforms. </w:t>
      </w:r>
      <w:r w:rsidR="00716C46" w:rsidRPr="009530B1">
        <w:rPr>
          <w:rFonts w:asciiTheme="minorHAnsi" w:hAnsiTheme="minorHAnsi"/>
          <w:sz w:val="21"/>
        </w:rPr>
        <w:t>The Government recogniz</w:t>
      </w:r>
      <w:r w:rsidRPr="009530B1">
        <w:rPr>
          <w:rFonts w:asciiTheme="minorHAnsi" w:hAnsiTheme="minorHAnsi"/>
          <w:sz w:val="21"/>
        </w:rPr>
        <w:t>es that improvement in fiscal planning and management is crucial for the long-term development of Afghanistan. This plan covers the full spectrum of reforms, from developing a fiscal policy framework to guide the budget, to improved reporting and audit of public expenditure.</w:t>
      </w:r>
    </w:p>
    <w:p w14:paraId="030A5DF2" w14:textId="77777777" w:rsidR="007A5BF2" w:rsidRPr="007A5BF2" w:rsidRDefault="007A5BF2" w:rsidP="007A5BF2">
      <w:pPr>
        <w:pBdr>
          <w:top w:val="single" w:sz="4" w:space="1" w:color="auto"/>
          <w:left w:val="single" w:sz="4" w:space="1" w:color="auto"/>
          <w:bottom w:val="single" w:sz="4" w:space="1" w:color="auto"/>
          <w:right w:val="single" w:sz="4" w:space="4" w:color="auto"/>
        </w:pBdr>
        <w:shd w:val="clear" w:color="auto" w:fill="E3F1E1" w:themeFill="accent4" w:themeFillTint="33"/>
        <w:jc w:val="center"/>
        <w:rPr>
          <w:rFonts w:asciiTheme="minorHAnsi" w:hAnsiTheme="minorHAnsi"/>
          <w:b/>
          <w:sz w:val="21"/>
        </w:rPr>
      </w:pPr>
    </w:p>
    <w:p w14:paraId="1DEDF3E7" w14:textId="6B66EA7A" w:rsidR="0044060C" w:rsidRPr="00FE5C2E" w:rsidRDefault="0044060C" w:rsidP="00287A3B">
      <w:pPr>
        <w:pStyle w:val="Author"/>
        <w:spacing w:before="120"/>
        <w:jc w:val="center"/>
        <w:rPr>
          <w:sz w:val="24"/>
          <w:lang w:val="en-GB"/>
        </w:rPr>
      </w:pPr>
    </w:p>
    <w:p w14:paraId="4CB2B684" w14:textId="5CCB65C8" w:rsidR="00C81356" w:rsidRPr="00FE5C2E" w:rsidRDefault="0044060C" w:rsidP="00716C46">
      <w:pPr>
        <w:pStyle w:val="Author"/>
        <w:spacing w:before="120"/>
        <w:jc w:val="center"/>
        <w:rPr>
          <w:b w:val="0"/>
          <w:sz w:val="24"/>
          <w:lang w:val="en-GB"/>
        </w:rPr>
      </w:pPr>
      <w:r w:rsidRPr="00FE5C2E">
        <w:rPr>
          <w:b w:val="0"/>
          <w:sz w:val="24"/>
          <w:lang w:val="en-GB"/>
        </w:rPr>
        <w:br/>
        <w:t>Ministry of Finance</w:t>
      </w:r>
    </w:p>
    <w:p w14:paraId="7F10B85F" w14:textId="77777777" w:rsidR="0044060C" w:rsidRPr="00FE5C2E" w:rsidRDefault="0044060C" w:rsidP="0044060C">
      <w:pPr>
        <w:pStyle w:val="Author"/>
        <w:spacing w:before="120"/>
        <w:jc w:val="center"/>
        <w:rPr>
          <w:b w:val="0"/>
          <w:sz w:val="24"/>
          <w:lang w:val="en-GB"/>
        </w:rPr>
      </w:pPr>
      <w:r w:rsidRPr="00FE5C2E">
        <w:rPr>
          <w:b w:val="0"/>
          <w:sz w:val="24"/>
          <w:lang w:val="en-GB"/>
        </w:rPr>
        <w:t>Kabul, Afghanistan</w:t>
      </w:r>
    </w:p>
    <w:p w14:paraId="3C8453DC" w14:textId="44E8138F" w:rsidR="00F14E0B" w:rsidRDefault="00E7243F" w:rsidP="007A5BF2">
      <w:pPr>
        <w:pStyle w:val="Author"/>
        <w:jc w:val="center"/>
        <w:rPr>
          <w:b w:val="0"/>
          <w:sz w:val="24"/>
          <w:lang w:val="en-GB"/>
        </w:rPr>
      </w:pPr>
      <w:r>
        <w:rPr>
          <w:b w:val="0"/>
          <w:sz w:val="24"/>
          <w:lang w:val="en-GB"/>
        </w:rPr>
        <w:t>February</w:t>
      </w:r>
      <w:r w:rsidR="00EF0255">
        <w:rPr>
          <w:b w:val="0"/>
          <w:sz w:val="24"/>
          <w:lang w:val="en-GB"/>
        </w:rPr>
        <w:t xml:space="preserve"> 2016</w:t>
      </w:r>
    </w:p>
    <w:p w14:paraId="683AF6F1" w14:textId="77777777" w:rsidR="00F14E0B" w:rsidRDefault="00F14E0B" w:rsidP="006063B9">
      <w:pPr>
        <w:pStyle w:val="Author"/>
        <w:jc w:val="center"/>
        <w:rPr>
          <w:b w:val="0"/>
          <w:sz w:val="24"/>
          <w:lang w:val="en-GB"/>
        </w:rPr>
        <w:sectPr w:rsidR="00F14E0B" w:rsidSect="00004C5E">
          <w:headerReference w:type="even" r:id="rId12"/>
          <w:headerReference w:type="default" r:id="rId13"/>
          <w:footerReference w:type="even" r:id="rId14"/>
          <w:footerReference w:type="default" r:id="rId15"/>
          <w:headerReference w:type="first" r:id="rId16"/>
          <w:footerReference w:type="first" r:id="rId17"/>
          <w:pgSz w:w="11900" w:h="16840" w:code="9"/>
          <w:pgMar w:top="1135" w:right="1800" w:bottom="709" w:left="1800" w:header="720" w:footer="720" w:gutter="0"/>
          <w:pgNumType w:fmt="lowerRoman" w:start="1"/>
          <w:cols w:space="720"/>
          <w:titlePg/>
          <w:docGrid w:linePitch="360"/>
          <w:printerSettings r:id="rId18"/>
        </w:sectPr>
      </w:pPr>
    </w:p>
    <w:p w14:paraId="3F7E0D39" w14:textId="19BA384F" w:rsidR="001618E5" w:rsidRPr="00FE5C2E" w:rsidRDefault="001618E5" w:rsidP="006063B9">
      <w:pPr>
        <w:pStyle w:val="Author"/>
        <w:jc w:val="center"/>
        <w:rPr>
          <w:sz w:val="24"/>
          <w:lang w:val="en-GB"/>
        </w:rPr>
      </w:pPr>
    </w:p>
    <w:sdt>
      <w:sdtPr>
        <w:rPr>
          <w:rFonts w:asciiTheme="minorHAnsi" w:eastAsiaTheme="minorHAnsi" w:hAnsiTheme="minorHAnsi" w:cstheme="minorBidi"/>
          <w:b w:val="0"/>
          <w:caps w:val="0"/>
          <w:color w:val="5F5F5F" w:themeColor="text2" w:themeTint="BF"/>
          <w:sz w:val="24"/>
          <w:szCs w:val="24"/>
          <w:lang w:val="en-US" w:eastAsia="en-US"/>
        </w:rPr>
        <w:id w:val="-1568100847"/>
        <w:docPartObj>
          <w:docPartGallery w:val="Table of Contents"/>
          <w:docPartUnique/>
        </w:docPartObj>
      </w:sdtPr>
      <w:sdtEndPr>
        <w:rPr>
          <w:rFonts w:ascii="Times New Roman" w:hAnsi="Times New Roman" w:cs="Times New Roman"/>
          <w:bCs/>
          <w:noProof/>
          <w:color w:val="auto"/>
        </w:rPr>
      </w:sdtEndPr>
      <w:sdtContent>
        <w:p w14:paraId="61CE0F28" w14:textId="77777777" w:rsidR="001618E5" w:rsidRPr="00FE5C2E" w:rsidRDefault="00F3702C" w:rsidP="00FD4E75">
          <w:pPr>
            <w:pStyle w:val="TOCHeading"/>
            <w:spacing w:after="360"/>
          </w:pPr>
          <w:r w:rsidRPr="00FE5C2E">
            <w:rPr>
              <w:rStyle w:val="Emphasis"/>
              <w:sz w:val="48"/>
            </w:rPr>
            <w:t>TAble of</w:t>
          </w:r>
          <w:r w:rsidRPr="00FE5C2E">
            <w:rPr>
              <w:rStyle w:val="Emphasis"/>
              <w:sz w:val="48"/>
            </w:rPr>
            <w:br/>
          </w:r>
          <w:r w:rsidRPr="00FE5C2E">
            <w:t>Contents</w:t>
          </w:r>
        </w:p>
        <w:p w14:paraId="54663209" w14:textId="77777777" w:rsidR="00E83B75" w:rsidRDefault="00BC6952">
          <w:pPr>
            <w:pStyle w:val="TOC1"/>
            <w:rPr>
              <w:rFonts w:asciiTheme="minorHAnsi" w:eastAsiaTheme="minorEastAsia" w:hAnsiTheme="minorHAnsi"/>
              <w:b w:val="0"/>
              <w:bCs w:val="0"/>
              <w:caps w:val="0"/>
              <w:noProof/>
              <w:color w:val="auto"/>
              <w:sz w:val="24"/>
              <w:lang w:eastAsia="en-US"/>
            </w:rPr>
          </w:pPr>
          <w:r w:rsidRPr="00FE5C2E">
            <w:rPr>
              <w:noProof/>
              <w:lang w:val="en-GB"/>
            </w:rPr>
            <w:fldChar w:fldCharType="begin"/>
          </w:r>
          <w:r w:rsidRPr="00FE5C2E">
            <w:rPr>
              <w:noProof/>
              <w:lang w:val="en-GB"/>
            </w:rPr>
            <w:instrText xml:space="preserve"> TOC \o "1-1" \t "Heading 2,2,Heading 3,3" </w:instrText>
          </w:r>
          <w:r w:rsidRPr="00FE5C2E">
            <w:rPr>
              <w:noProof/>
              <w:lang w:val="en-GB"/>
            </w:rPr>
            <w:fldChar w:fldCharType="separate"/>
          </w:r>
          <w:r w:rsidR="00E83B75" w:rsidRPr="001B3A6F">
            <w:rPr>
              <w:iCs/>
              <w:noProof/>
              <w:color w:val="F75952" w:themeColor="accent1"/>
            </w:rPr>
            <w:t>Executive Summary</w:t>
          </w:r>
          <w:r w:rsidR="00E83B75">
            <w:rPr>
              <w:noProof/>
            </w:rPr>
            <w:tab/>
          </w:r>
          <w:r w:rsidR="00E83B75">
            <w:rPr>
              <w:noProof/>
            </w:rPr>
            <w:fldChar w:fldCharType="begin"/>
          </w:r>
          <w:r w:rsidR="00E83B75">
            <w:rPr>
              <w:noProof/>
            </w:rPr>
            <w:instrText xml:space="preserve"> PAGEREF _Toc457162616 \h </w:instrText>
          </w:r>
          <w:r w:rsidR="00E83B75">
            <w:rPr>
              <w:noProof/>
            </w:rPr>
          </w:r>
          <w:r w:rsidR="00E83B75">
            <w:rPr>
              <w:noProof/>
            </w:rPr>
            <w:fldChar w:fldCharType="separate"/>
          </w:r>
          <w:r w:rsidR="00004C5E">
            <w:rPr>
              <w:noProof/>
            </w:rPr>
            <w:t>1</w:t>
          </w:r>
          <w:r w:rsidR="00E83B75">
            <w:rPr>
              <w:noProof/>
            </w:rPr>
            <w:fldChar w:fldCharType="end"/>
          </w:r>
        </w:p>
        <w:p w14:paraId="6F9A7263" w14:textId="77777777" w:rsidR="00E83B75" w:rsidRDefault="00E83B75">
          <w:pPr>
            <w:pStyle w:val="TOC1"/>
            <w:rPr>
              <w:rFonts w:asciiTheme="minorHAnsi" w:eastAsiaTheme="minorEastAsia" w:hAnsiTheme="minorHAnsi"/>
              <w:b w:val="0"/>
              <w:bCs w:val="0"/>
              <w:caps w:val="0"/>
              <w:noProof/>
              <w:color w:val="auto"/>
              <w:sz w:val="24"/>
              <w:lang w:eastAsia="en-US"/>
            </w:rPr>
          </w:pPr>
          <w:r w:rsidRPr="001B3A6F">
            <w:rPr>
              <w:iCs/>
              <w:noProof/>
              <w:color w:val="F75952" w:themeColor="accent1"/>
            </w:rPr>
            <w:t>Introduction</w:t>
          </w:r>
          <w:r>
            <w:rPr>
              <w:noProof/>
            </w:rPr>
            <w:tab/>
          </w:r>
          <w:r>
            <w:rPr>
              <w:noProof/>
            </w:rPr>
            <w:fldChar w:fldCharType="begin"/>
          </w:r>
          <w:r>
            <w:rPr>
              <w:noProof/>
            </w:rPr>
            <w:instrText xml:space="preserve"> PAGEREF _Toc457162617 \h </w:instrText>
          </w:r>
          <w:r>
            <w:rPr>
              <w:noProof/>
            </w:rPr>
          </w:r>
          <w:r>
            <w:rPr>
              <w:noProof/>
            </w:rPr>
            <w:fldChar w:fldCharType="separate"/>
          </w:r>
          <w:r w:rsidR="00004C5E">
            <w:rPr>
              <w:noProof/>
            </w:rPr>
            <w:t>6</w:t>
          </w:r>
          <w:r>
            <w:rPr>
              <w:noProof/>
            </w:rPr>
            <w:fldChar w:fldCharType="end"/>
          </w:r>
        </w:p>
        <w:p w14:paraId="1323281E" w14:textId="77777777" w:rsidR="00E83B75" w:rsidRDefault="00E83B75">
          <w:pPr>
            <w:pStyle w:val="TOC1"/>
            <w:rPr>
              <w:rFonts w:asciiTheme="minorHAnsi" w:eastAsiaTheme="minorEastAsia" w:hAnsiTheme="minorHAnsi"/>
              <w:b w:val="0"/>
              <w:bCs w:val="0"/>
              <w:caps w:val="0"/>
              <w:noProof/>
              <w:color w:val="auto"/>
              <w:sz w:val="24"/>
              <w:lang w:eastAsia="en-US"/>
            </w:rPr>
          </w:pPr>
          <w:r w:rsidRPr="001B3A6F">
            <w:rPr>
              <w:iCs/>
              <w:noProof/>
              <w:color w:val="F75952" w:themeColor="accent1"/>
            </w:rPr>
            <w:t>Afghanistan’s inaugural 5-Year Rolling plan</w:t>
          </w:r>
          <w:r>
            <w:rPr>
              <w:noProof/>
            </w:rPr>
            <w:tab/>
          </w:r>
          <w:r>
            <w:rPr>
              <w:noProof/>
            </w:rPr>
            <w:fldChar w:fldCharType="begin"/>
          </w:r>
          <w:r>
            <w:rPr>
              <w:noProof/>
            </w:rPr>
            <w:instrText xml:space="preserve"> PAGEREF _Toc457162618 \h </w:instrText>
          </w:r>
          <w:r>
            <w:rPr>
              <w:noProof/>
            </w:rPr>
          </w:r>
          <w:r>
            <w:rPr>
              <w:noProof/>
            </w:rPr>
            <w:fldChar w:fldCharType="separate"/>
          </w:r>
          <w:r w:rsidR="00004C5E">
            <w:rPr>
              <w:noProof/>
            </w:rPr>
            <w:t>7</w:t>
          </w:r>
          <w:r>
            <w:rPr>
              <w:noProof/>
            </w:rPr>
            <w:fldChar w:fldCharType="end"/>
          </w:r>
        </w:p>
        <w:p w14:paraId="46C6CCF5" w14:textId="77777777" w:rsidR="00E83B75" w:rsidRDefault="00E83B75">
          <w:pPr>
            <w:pStyle w:val="TOC2"/>
            <w:rPr>
              <w:rFonts w:eastAsiaTheme="minorEastAsia"/>
              <w:b w:val="0"/>
              <w:bCs w:val="0"/>
              <w:color w:val="auto"/>
              <w:szCs w:val="24"/>
              <w:lang w:val="en-US" w:eastAsia="en-US"/>
            </w:rPr>
          </w:pPr>
          <w:r>
            <w:t>A Team Based Performance Management Approach</w:t>
          </w:r>
          <w:r>
            <w:tab/>
          </w:r>
          <w:r>
            <w:fldChar w:fldCharType="begin"/>
          </w:r>
          <w:r>
            <w:instrText xml:space="preserve"> PAGEREF _Toc457162619 \h </w:instrText>
          </w:r>
          <w:r>
            <w:fldChar w:fldCharType="separate"/>
          </w:r>
          <w:r w:rsidR="00004C5E">
            <w:t>7</w:t>
          </w:r>
          <w:r>
            <w:fldChar w:fldCharType="end"/>
          </w:r>
        </w:p>
        <w:p w14:paraId="53B1A679" w14:textId="77777777" w:rsidR="00E83B75" w:rsidRDefault="00E83B75">
          <w:pPr>
            <w:pStyle w:val="TOC2"/>
            <w:rPr>
              <w:rFonts w:eastAsiaTheme="minorEastAsia"/>
              <w:b w:val="0"/>
              <w:bCs w:val="0"/>
              <w:color w:val="auto"/>
              <w:szCs w:val="24"/>
              <w:lang w:val="en-US" w:eastAsia="en-US"/>
            </w:rPr>
          </w:pPr>
          <w:r>
            <w:t>Team-Led Reforms – Every Team Matters</w:t>
          </w:r>
          <w:r>
            <w:tab/>
          </w:r>
          <w:r>
            <w:fldChar w:fldCharType="begin"/>
          </w:r>
          <w:r>
            <w:instrText xml:space="preserve"> PAGEREF _Toc457162620 \h </w:instrText>
          </w:r>
          <w:r>
            <w:fldChar w:fldCharType="separate"/>
          </w:r>
          <w:r w:rsidR="00004C5E">
            <w:t>13</w:t>
          </w:r>
          <w:r>
            <w:fldChar w:fldCharType="end"/>
          </w:r>
        </w:p>
        <w:p w14:paraId="614C5722" w14:textId="77777777" w:rsidR="00E83B75" w:rsidRDefault="00E83B75">
          <w:pPr>
            <w:pStyle w:val="TOC3"/>
            <w:rPr>
              <w:rFonts w:eastAsiaTheme="minorEastAsia"/>
              <w:color w:val="auto"/>
              <w:sz w:val="24"/>
              <w:lang w:val="en-US" w:eastAsia="en-US"/>
            </w:rPr>
          </w:pPr>
          <w:r w:rsidRPr="001B3A6F">
            <w:rPr>
              <w:color w:val="4E9747" w:themeColor="accent4" w:themeShade="BF"/>
            </w:rPr>
            <w:t>Teams within Teams</w:t>
          </w:r>
          <w:r w:rsidRPr="001B3A6F">
            <w:t xml:space="preserve"> – Participating Agencies</w:t>
          </w:r>
          <w:r>
            <w:tab/>
          </w:r>
          <w:r>
            <w:fldChar w:fldCharType="begin"/>
          </w:r>
          <w:r>
            <w:instrText xml:space="preserve"> PAGEREF _Toc457162621 \h </w:instrText>
          </w:r>
          <w:r>
            <w:fldChar w:fldCharType="separate"/>
          </w:r>
          <w:r w:rsidR="00004C5E">
            <w:t>14</w:t>
          </w:r>
          <w:r>
            <w:fldChar w:fldCharType="end"/>
          </w:r>
        </w:p>
        <w:p w14:paraId="48B791C3" w14:textId="77777777" w:rsidR="00E83B75" w:rsidRDefault="00E83B75">
          <w:pPr>
            <w:pStyle w:val="TOC3"/>
            <w:rPr>
              <w:rFonts w:eastAsiaTheme="minorEastAsia"/>
              <w:color w:val="auto"/>
              <w:sz w:val="24"/>
              <w:lang w:val="en-US" w:eastAsia="en-US"/>
            </w:rPr>
          </w:pPr>
          <w:r w:rsidRPr="001B3A6F">
            <w:rPr>
              <w:color w:val="4E9747" w:themeColor="accent4" w:themeShade="BF"/>
            </w:rPr>
            <w:t>The Flagship Reforms</w:t>
          </w:r>
          <w:r w:rsidRPr="001B3A6F">
            <w:t xml:space="preserve"> – Taking on the Big Challenges</w:t>
          </w:r>
          <w:r>
            <w:tab/>
          </w:r>
          <w:r>
            <w:fldChar w:fldCharType="begin"/>
          </w:r>
          <w:r>
            <w:instrText xml:space="preserve"> PAGEREF _Toc457162622 \h </w:instrText>
          </w:r>
          <w:r>
            <w:fldChar w:fldCharType="separate"/>
          </w:r>
          <w:r w:rsidR="00004C5E">
            <w:t>15</w:t>
          </w:r>
          <w:r>
            <w:fldChar w:fldCharType="end"/>
          </w:r>
        </w:p>
        <w:p w14:paraId="455FBA95" w14:textId="77777777" w:rsidR="00E83B75" w:rsidRDefault="00E83B75">
          <w:pPr>
            <w:pStyle w:val="TOC3"/>
            <w:rPr>
              <w:rFonts w:eastAsiaTheme="minorEastAsia"/>
              <w:color w:val="auto"/>
              <w:sz w:val="24"/>
              <w:lang w:val="en-US" w:eastAsia="en-US"/>
            </w:rPr>
          </w:pPr>
          <w:r w:rsidRPr="001B3A6F">
            <w:rPr>
              <w:color w:val="4E9747" w:themeColor="accent4" w:themeShade="BF"/>
            </w:rPr>
            <w:t>Aspirational Targets</w:t>
          </w:r>
          <w:r w:rsidRPr="001B3A6F">
            <w:t xml:space="preserve"> – Our Guides</w:t>
          </w:r>
          <w:r>
            <w:tab/>
          </w:r>
          <w:r>
            <w:fldChar w:fldCharType="begin"/>
          </w:r>
          <w:r>
            <w:instrText xml:space="preserve"> PAGEREF _Toc457162623 \h </w:instrText>
          </w:r>
          <w:r>
            <w:fldChar w:fldCharType="separate"/>
          </w:r>
          <w:r w:rsidR="00004C5E">
            <w:t>19</w:t>
          </w:r>
          <w:r>
            <w:fldChar w:fldCharType="end"/>
          </w:r>
        </w:p>
        <w:p w14:paraId="0485D0AE" w14:textId="77777777" w:rsidR="00E83B75" w:rsidRDefault="00E83B75">
          <w:pPr>
            <w:pStyle w:val="TOC2"/>
            <w:rPr>
              <w:rFonts w:eastAsiaTheme="minorEastAsia"/>
              <w:b w:val="0"/>
              <w:bCs w:val="0"/>
              <w:color w:val="auto"/>
              <w:szCs w:val="24"/>
              <w:lang w:val="en-US" w:eastAsia="en-US"/>
            </w:rPr>
          </w:pPr>
          <w:r>
            <w:t>Staffing Priorities – Technical Assistance Gaps</w:t>
          </w:r>
          <w:r>
            <w:tab/>
          </w:r>
          <w:r>
            <w:fldChar w:fldCharType="begin"/>
          </w:r>
          <w:r>
            <w:instrText xml:space="preserve"> PAGEREF _Toc457162624 \h </w:instrText>
          </w:r>
          <w:r>
            <w:fldChar w:fldCharType="separate"/>
          </w:r>
          <w:r w:rsidR="00004C5E">
            <w:t>33</w:t>
          </w:r>
          <w:r>
            <w:fldChar w:fldCharType="end"/>
          </w:r>
        </w:p>
        <w:p w14:paraId="1CA361EE" w14:textId="77777777" w:rsidR="00E83B75" w:rsidRDefault="00E83B75">
          <w:pPr>
            <w:pStyle w:val="TOC2"/>
            <w:rPr>
              <w:rFonts w:eastAsiaTheme="minorEastAsia"/>
              <w:b w:val="0"/>
              <w:bCs w:val="0"/>
              <w:color w:val="auto"/>
              <w:szCs w:val="24"/>
              <w:lang w:val="en-US" w:eastAsia="en-US"/>
            </w:rPr>
          </w:pPr>
          <w:r>
            <w:t>Financing – Gaps</w:t>
          </w:r>
          <w:r>
            <w:tab/>
          </w:r>
          <w:r>
            <w:fldChar w:fldCharType="begin"/>
          </w:r>
          <w:r>
            <w:instrText xml:space="preserve"> PAGEREF _Toc457162625 \h </w:instrText>
          </w:r>
          <w:r>
            <w:fldChar w:fldCharType="separate"/>
          </w:r>
          <w:r w:rsidR="00004C5E">
            <w:t>33</w:t>
          </w:r>
          <w:r>
            <w:fldChar w:fldCharType="end"/>
          </w:r>
        </w:p>
        <w:p w14:paraId="42F09C36" w14:textId="77777777" w:rsidR="00E83B75" w:rsidRDefault="00E83B75">
          <w:pPr>
            <w:pStyle w:val="TOC2"/>
            <w:rPr>
              <w:rFonts w:eastAsiaTheme="minorEastAsia"/>
              <w:b w:val="0"/>
              <w:bCs w:val="0"/>
              <w:color w:val="auto"/>
              <w:szCs w:val="24"/>
              <w:lang w:val="en-US" w:eastAsia="en-US"/>
            </w:rPr>
          </w:pPr>
          <w:r>
            <w:t>Government’s Sector Budget Support Policy Framework</w:t>
          </w:r>
          <w:r>
            <w:tab/>
          </w:r>
          <w:r>
            <w:fldChar w:fldCharType="begin"/>
          </w:r>
          <w:r>
            <w:instrText xml:space="preserve"> PAGEREF _Toc457162626 \h </w:instrText>
          </w:r>
          <w:r>
            <w:fldChar w:fldCharType="separate"/>
          </w:r>
          <w:r w:rsidR="00004C5E">
            <w:t>36</w:t>
          </w:r>
          <w:r>
            <w:fldChar w:fldCharType="end"/>
          </w:r>
        </w:p>
        <w:p w14:paraId="23A598AA" w14:textId="77777777" w:rsidR="00E83B75" w:rsidRDefault="00E83B75">
          <w:pPr>
            <w:pStyle w:val="TOC1"/>
            <w:rPr>
              <w:rFonts w:asciiTheme="minorHAnsi" w:eastAsiaTheme="minorEastAsia" w:hAnsiTheme="minorHAnsi"/>
              <w:b w:val="0"/>
              <w:bCs w:val="0"/>
              <w:caps w:val="0"/>
              <w:noProof/>
              <w:color w:val="auto"/>
              <w:sz w:val="24"/>
              <w:lang w:eastAsia="en-US"/>
            </w:rPr>
          </w:pPr>
          <w:r>
            <w:rPr>
              <w:noProof/>
            </w:rPr>
            <w:t>Attachments</w:t>
          </w:r>
          <w:r>
            <w:rPr>
              <w:noProof/>
            </w:rPr>
            <w:tab/>
          </w:r>
          <w:r>
            <w:rPr>
              <w:noProof/>
            </w:rPr>
            <w:fldChar w:fldCharType="begin"/>
          </w:r>
          <w:r>
            <w:rPr>
              <w:noProof/>
            </w:rPr>
            <w:instrText xml:space="preserve"> PAGEREF _Toc457162627 \h </w:instrText>
          </w:r>
          <w:r>
            <w:rPr>
              <w:noProof/>
            </w:rPr>
          </w:r>
          <w:r>
            <w:rPr>
              <w:noProof/>
            </w:rPr>
            <w:fldChar w:fldCharType="separate"/>
          </w:r>
          <w:r w:rsidR="00004C5E">
            <w:rPr>
              <w:noProof/>
            </w:rPr>
            <w:t>38</w:t>
          </w:r>
          <w:r>
            <w:rPr>
              <w:noProof/>
            </w:rPr>
            <w:fldChar w:fldCharType="end"/>
          </w:r>
        </w:p>
        <w:p w14:paraId="22DE6B74" w14:textId="77777777" w:rsidR="00E83B75" w:rsidRDefault="00E83B75">
          <w:pPr>
            <w:pStyle w:val="TOC2"/>
            <w:rPr>
              <w:rFonts w:eastAsiaTheme="minorEastAsia"/>
              <w:b w:val="0"/>
              <w:bCs w:val="0"/>
              <w:color w:val="auto"/>
              <w:szCs w:val="24"/>
              <w:lang w:val="en-US" w:eastAsia="en-US"/>
            </w:rPr>
          </w:pPr>
          <w:r w:rsidRPr="001B3A6F">
            <w:rPr>
              <w:iCs/>
              <w:color w:val="F75952" w:themeColor="accent1"/>
            </w:rPr>
            <w:t>Attachment A: 5 Year Plans</w:t>
          </w:r>
          <w:r>
            <w:tab/>
          </w:r>
          <w:r>
            <w:fldChar w:fldCharType="begin"/>
          </w:r>
          <w:r>
            <w:instrText xml:space="preserve"> PAGEREF _Toc457162628 \h </w:instrText>
          </w:r>
          <w:r>
            <w:fldChar w:fldCharType="separate"/>
          </w:r>
          <w:r w:rsidR="00004C5E">
            <w:t>39</w:t>
          </w:r>
          <w:r>
            <w:fldChar w:fldCharType="end"/>
          </w:r>
        </w:p>
        <w:p w14:paraId="49CD15BC" w14:textId="77777777" w:rsidR="00E83B75" w:rsidRDefault="00E83B75">
          <w:pPr>
            <w:pStyle w:val="TOC2"/>
            <w:rPr>
              <w:rFonts w:eastAsiaTheme="minorEastAsia"/>
              <w:b w:val="0"/>
              <w:bCs w:val="0"/>
              <w:color w:val="auto"/>
              <w:szCs w:val="24"/>
              <w:lang w:val="en-US" w:eastAsia="en-US"/>
            </w:rPr>
          </w:pPr>
          <w:r w:rsidRPr="001B3A6F">
            <w:rPr>
              <w:iCs/>
              <w:color w:val="F75952" w:themeColor="accent1"/>
            </w:rPr>
            <w:t xml:space="preserve">Attachment B: Aspirational and Guiding Targets </w:t>
          </w:r>
          <w:r>
            <w:t>to support Implementation of the PFMR-II</w:t>
          </w:r>
          <w:r>
            <w:tab/>
          </w:r>
          <w:r>
            <w:fldChar w:fldCharType="begin"/>
          </w:r>
          <w:r>
            <w:instrText xml:space="preserve"> PAGEREF _Toc457162629 \h </w:instrText>
          </w:r>
          <w:r>
            <w:fldChar w:fldCharType="separate"/>
          </w:r>
          <w:r w:rsidR="00004C5E">
            <w:t>40</w:t>
          </w:r>
          <w:r>
            <w:fldChar w:fldCharType="end"/>
          </w:r>
        </w:p>
        <w:p w14:paraId="5BC7A9E8" w14:textId="77777777" w:rsidR="00E83B75" w:rsidRDefault="00E83B75">
          <w:pPr>
            <w:pStyle w:val="TOC2"/>
            <w:rPr>
              <w:rFonts w:eastAsiaTheme="minorEastAsia"/>
              <w:b w:val="0"/>
              <w:bCs w:val="0"/>
              <w:color w:val="auto"/>
              <w:szCs w:val="24"/>
              <w:lang w:val="en-US" w:eastAsia="en-US"/>
            </w:rPr>
          </w:pPr>
          <w:r w:rsidRPr="001B3A6F">
            <w:rPr>
              <w:iCs/>
              <w:color w:val="F75952" w:themeColor="accent1"/>
            </w:rPr>
            <w:t>Attachment C: “Basics first”</w:t>
          </w:r>
          <w:r>
            <w:tab/>
          </w:r>
          <w:r>
            <w:fldChar w:fldCharType="begin"/>
          </w:r>
          <w:r>
            <w:instrText xml:space="preserve"> PAGEREF _Toc457162630 \h </w:instrText>
          </w:r>
          <w:r>
            <w:fldChar w:fldCharType="separate"/>
          </w:r>
          <w:r w:rsidR="00004C5E">
            <w:t>61</w:t>
          </w:r>
          <w:r>
            <w:fldChar w:fldCharType="end"/>
          </w:r>
        </w:p>
        <w:p w14:paraId="15CE169B" w14:textId="77777777" w:rsidR="00E83B75" w:rsidRDefault="00E83B75">
          <w:pPr>
            <w:pStyle w:val="TOC2"/>
            <w:rPr>
              <w:rFonts w:eastAsiaTheme="minorEastAsia"/>
              <w:b w:val="0"/>
              <w:bCs w:val="0"/>
              <w:color w:val="auto"/>
              <w:szCs w:val="24"/>
              <w:lang w:val="en-US" w:eastAsia="en-US"/>
            </w:rPr>
          </w:pPr>
          <w:r w:rsidRPr="001B3A6F">
            <w:rPr>
              <w:iCs/>
              <w:color w:val="F75952" w:themeColor="accent1"/>
            </w:rPr>
            <w:t>Attachment D: Budget Support Policy Framework</w:t>
          </w:r>
          <w:r>
            <w:tab/>
          </w:r>
          <w:r>
            <w:fldChar w:fldCharType="begin"/>
          </w:r>
          <w:r>
            <w:instrText xml:space="preserve"> PAGEREF _Toc457162631 \h </w:instrText>
          </w:r>
          <w:r>
            <w:fldChar w:fldCharType="separate"/>
          </w:r>
          <w:r w:rsidR="00004C5E">
            <w:t>62</w:t>
          </w:r>
          <w:r>
            <w:fldChar w:fldCharType="end"/>
          </w:r>
        </w:p>
        <w:p w14:paraId="1E45EC50" w14:textId="77777777" w:rsidR="00E83B75" w:rsidRDefault="00E83B75">
          <w:pPr>
            <w:pStyle w:val="TOC2"/>
            <w:rPr>
              <w:rFonts w:eastAsiaTheme="minorEastAsia"/>
              <w:b w:val="0"/>
              <w:bCs w:val="0"/>
              <w:color w:val="auto"/>
              <w:szCs w:val="24"/>
              <w:lang w:val="en-US" w:eastAsia="en-US"/>
            </w:rPr>
          </w:pPr>
          <w:r w:rsidRPr="001B3A6F">
            <w:rPr>
              <w:iCs/>
              <w:color w:val="F75952" w:themeColor="accent1"/>
            </w:rPr>
            <w:t>Attachment E: Costings and Resource Allocations</w:t>
          </w:r>
          <w:r>
            <w:tab/>
          </w:r>
          <w:r>
            <w:fldChar w:fldCharType="begin"/>
          </w:r>
          <w:r>
            <w:instrText xml:space="preserve"> PAGEREF _Toc457162632 \h </w:instrText>
          </w:r>
          <w:r>
            <w:fldChar w:fldCharType="separate"/>
          </w:r>
          <w:r w:rsidR="00004C5E">
            <w:t>69</w:t>
          </w:r>
          <w:r>
            <w:fldChar w:fldCharType="end"/>
          </w:r>
        </w:p>
        <w:p w14:paraId="14A611A8" w14:textId="52F0CD9E" w:rsidR="001618E5" w:rsidRPr="00FE5C2E" w:rsidRDefault="00BC6952">
          <w:pPr>
            <w:rPr>
              <w:lang w:val="en-GB"/>
            </w:rPr>
          </w:pPr>
          <w:r w:rsidRPr="00FE5C2E">
            <w:rPr>
              <w:rFonts w:asciiTheme="majorHAnsi" w:hAnsiTheme="majorHAnsi"/>
              <w:b/>
              <w:bCs/>
              <w:caps/>
              <w:noProof/>
              <w:color w:val="2A2A2A" w:themeColor="text2"/>
              <w:sz w:val="28"/>
              <w:lang w:val="en-GB"/>
            </w:rPr>
            <w:fldChar w:fldCharType="end"/>
          </w:r>
        </w:p>
      </w:sdtContent>
    </w:sdt>
    <w:p w14:paraId="173343C4" w14:textId="77777777" w:rsidR="00E9748A" w:rsidRDefault="00E9748A" w:rsidP="0023087D">
      <w:pPr>
        <w:pStyle w:val="TOCHeading"/>
        <w:spacing w:after="360"/>
        <w:rPr>
          <w:rStyle w:val="Emphasis"/>
          <w:sz w:val="44"/>
        </w:rPr>
      </w:pPr>
    </w:p>
    <w:p w14:paraId="5C72B36C" w14:textId="165B0CBD" w:rsidR="0023087D" w:rsidRPr="00BA5328" w:rsidRDefault="0023087D" w:rsidP="0023087D">
      <w:pPr>
        <w:pStyle w:val="TOCHeading"/>
        <w:spacing w:after="360"/>
        <w:rPr>
          <w:sz w:val="32"/>
        </w:rPr>
      </w:pPr>
      <w:r w:rsidRPr="00BA5328">
        <w:rPr>
          <w:rStyle w:val="Emphasis"/>
          <w:sz w:val="44"/>
        </w:rPr>
        <w:t>TAbleS</w:t>
      </w:r>
    </w:p>
    <w:p w14:paraId="532E8077" w14:textId="77777777" w:rsidR="00E83B75" w:rsidRDefault="0023087D">
      <w:pPr>
        <w:pStyle w:val="TOC2"/>
        <w:tabs>
          <w:tab w:val="left" w:pos="1200"/>
        </w:tabs>
        <w:rPr>
          <w:rFonts w:eastAsiaTheme="minorEastAsia"/>
          <w:b w:val="0"/>
          <w:bCs w:val="0"/>
          <w:color w:val="auto"/>
          <w:szCs w:val="24"/>
          <w:lang w:val="en-US" w:eastAsia="en-US"/>
        </w:rPr>
      </w:pPr>
      <w:r w:rsidRPr="001E0B57">
        <w:rPr>
          <w:b w:val="0"/>
          <w:sz w:val="20"/>
        </w:rPr>
        <w:fldChar w:fldCharType="begin"/>
      </w:r>
      <w:r w:rsidRPr="001E0B57">
        <w:rPr>
          <w:b w:val="0"/>
          <w:sz w:val="20"/>
        </w:rPr>
        <w:instrText xml:space="preserve"> TOC \h \z \u \t "Table Header 1,2" </w:instrText>
      </w:r>
      <w:r w:rsidRPr="001E0B57">
        <w:rPr>
          <w:b w:val="0"/>
          <w:sz w:val="20"/>
        </w:rPr>
        <w:fldChar w:fldCharType="separate"/>
      </w:r>
      <w:hyperlink w:anchor="_Toc457162633" w:history="1">
        <w:r w:rsidR="00E83B75" w:rsidRPr="00805D4C">
          <w:rPr>
            <w:rStyle w:val="Hyperlink"/>
            <w14:scene3d>
              <w14:camera w14:prst="orthographicFront"/>
              <w14:lightRig w14:rig="threePt" w14:dir="t">
                <w14:rot w14:lat="0" w14:lon="0" w14:rev="0"/>
              </w14:lightRig>
            </w14:scene3d>
          </w:rPr>
          <w:t>Table 1.</w:t>
        </w:r>
        <w:r w:rsidR="00E83B75">
          <w:rPr>
            <w:rFonts w:eastAsiaTheme="minorEastAsia"/>
            <w:b w:val="0"/>
            <w:bCs w:val="0"/>
            <w:color w:val="auto"/>
            <w:szCs w:val="24"/>
            <w:lang w:val="en-US" w:eastAsia="en-US"/>
          </w:rPr>
          <w:tab/>
        </w:r>
        <w:r w:rsidR="00E83B75" w:rsidRPr="00805D4C">
          <w:rPr>
            <w:rStyle w:val="Hyperlink"/>
          </w:rPr>
          <w:t>Current Participating Agencies</w:t>
        </w:r>
        <w:r w:rsidR="00E83B75">
          <w:rPr>
            <w:webHidden/>
          </w:rPr>
          <w:tab/>
        </w:r>
        <w:r w:rsidR="00E83B75">
          <w:rPr>
            <w:webHidden/>
          </w:rPr>
          <w:fldChar w:fldCharType="begin"/>
        </w:r>
        <w:r w:rsidR="00E83B75">
          <w:rPr>
            <w:webHidden/>
          </w:rPr>
          <w:instrText xml:space="preserve"> PAGEREF _Toc457162633 \h </w:instrText>
        </w:r>
        <w:r w:rsidR="00E83B75">
          <w:rPr>
            <w:webHidden/>
          </w:rPr>
        </w:r>
        <w:r w:rsidR="00E83B75">
          <w:rPr>
            <w:webHidden/>
          </w:rPr>
          <w:fldChar w:fldCharType="separate"/>
        </w:r>
        <w:r w:rsidR="00004C5E">
          <w:rPr>
            <w:webHidden/>
          </w:rPr>
          <w:t>14</w:t>
        </w:r>
        <w:r w:rsidR="00E83B75">
          <w:rPr>
            <w:webHidden/>
          </w:rPr>
          <w:fldChar w:fldCharType="end"/>
        </w:r>
      </w:hyperlink>
    </w:p>
    <w:p w14:paraId="3A032ED8" w14:textId="77777777" w:rsidR="00E83B75" w:rsidRDefault="00E83B75">
      <w:pPr>
        <w:pStyle w:val="TOC2"/>
        <w:tabs>
          <w:tab w:val="left" w:pos="1200"/>
        </w:tabs>
        <w:rPr>
          <w:rFonts w:eastAsiaTheme="minorEastAsia"/>
          <w:b w:val="0"/>
          <w:bCs w:val="0"/>
          <w:color w:val="auto"/>
          <w:szCs w:val="24"/>
          <w:lang w:val="en-US" w:eastAsia="en-US"/>
        </w:rPr>
      </w:pPr>
      <w:hyperlink w:anchor="_Toc457162634" w:history="1">
        <w:r w:rsidRPr="00805D4C">
          <w:rPr>
            <w:rStyle w:val="Hyperlink"/>
            <w14:scene3d>
              <w14:camera w14:prst="orthographicFront"/>
              <w14:lightRig w14:rig="threePt" w14:dir="t">
                <w14:rot w14:lat="0" w14:lon="0" w14:rev="0"/>
              </w14:lightRig>
            </w14:scene3d>
          </w:rPr>
          <w:t>Table 2.</w:t>
        </w:r>
        <w:r>
          <w:rPr>
            <w:rFonts w:eastAsiaTheme="minorEastAsia"/>
            <w:b w:val="0"/>
            <w:bCs w:val="0"/>
            <w:color w:val="auto"/>
            <w:szCs w:val="24"/>
            <w:lang w:val="en-US" w:eastAsia="en-US"/>
          </w:rPr>
          <w:tab/>
        </w:r>
        <w:r w:rsidRPr="00805D4C">
          <w:rPr>
            <w:rStyle w:val="Hyperlink"/>
          </w:rPr>
          <w:t>Flagship Reforms of the Teams</w:t>
        </w:r>
        <w:r>
          <w:rPr>
            <w:webHidden/>
          </w:rPr>
          <w:tab/>
        </w:r>
        <w:r>
          <w:rPr>
            <w:webHidden/>
          </w:rPr>
          <w:fldChar w:fldCharType="begin"/>
        </w:r>
        <w:r>
          <w:rPr>
            <w:webHidden/>
          </w:rPr>
          <w:instrText xml:space="preserve"> PAGEREF _Toc457162634 \h </w:instrText>
        </w:r>
        <w:r>
          <w:rPr>
            <w:webHidden/>
          </w:rPr>
        </w:r>
        <w:r>
          <w:rPr>
            <w:webHidden/>
          </w:rPr>
          <w:fldChar w:fldCharType="separate"/>
        </w:r>
        <w:r w:rsidR="00004C5E">
          <w:rPr>
            <w:webHidden/>
          </w:rPr>
          <w:t>18</w:t>
        </w:r>
        <w:r>
          <w:rPr>
            <w:webHidden/>
          </w:rPr>
          <w:fldChar w:fldCharType="end"/>
        </w:r>
      </w:hyperlink>
    </w:p>
    <w:p w14:paraId="2728F79A" w14:textId="77777777" w:rsidR="00E83B75" w:rsidRDefault="00E83B75">
      <w:pPr>
        <w:pStyle w:val="TOC2"/>
        <w:tabs>
          <w:tab w:val="left" w:pos="1200"/>
        </w:tabs>
        <w:rPr>
          <w:rFonts w:eastAsiaTheme="minorEastAsia"/>
          <w:b w:val="0"/>
          <w:bCs w:val="0"/>
          <w:color w:val="auto"/>
          <w:szCs w:val="24"/>
          <w:lang w:val="en-US" w:eastAsia="en-US"/>
        </w:rPr>
      </w:pPr>
      <w:hyperlink w:anchor="_Toc457162635" w:history="1">
        <w:r w:rsidRPr="00805D4C">
          <w:rPr>
            <w:rStyle w:val="Hyperlink"/>
            <w14:scene3d>
              <w14:camera w14:prst="orthographicFront"/>
              <w14:lightRig w14:rig="threePt" w14:dir="t">
                <w14:rot w14:lat="0" w14:lon="0" w14:rev="0"/>
              </w14:lightRig>
            </w14:scene3d>
          </w:rPr>
          <w:t>Table 3.</w:t>
        </w:r>
        <w:r>
          <w:rPr>
            <w:rFonts w:eastAsiaTheme="minorEastAsia"/>
            <w:b w:val="0"/>
            <w:bCs w:val="0"/>
            <w:color w:val="auto"/>
            <w:szCs w:val="24"/>
            <w:lang w:val="en-US" w:eastAsia="en-US"/>
          </w:rPr>
          <w:tab/>
        </w:r>
        <w:r w:rsidRPr="00805D4C">
          <w:rPr>
            <w:rStyle w:val="Hyperlink"/>
          </w:rPr>
          <w:t>DB Taxes &amp; Customs: Proposed Aspirational Targets (100 Best)</w:t>
        </w:r>
        <w:r>
          <w:rPr>
            <w:webHidden/>
          </w:rPr>
          <w:tab/>
        </w:r>
        <w:r>
          <w:rPr>
            <w:webHidden/>
          </w:rPr>
          <w:fldChar w:fldCharType="begin"/>
        </w:r>
        <w:r>
          <w:rPr>
            <w:webHidden/>
          </w:rPr>
          <w:instrText xml:space="preserve"> PAGEREF _Toc457162635 \h </w:instrText>
        </w:r>
        <w:r>
          <w:rPr>
            <w:webHidden/>
          </w:rPr>
        </w:r>
        <w:r>
          <w:rPr>
            <w:webHidden/>
          </w:rPr>
          <w:fldChar w:fldCharType="separate"/>
        </w:r>
        <w:r w:rsidR="00004C5E">
          <w:rPr>
            <w:webHidden/>
          </w:rPr>
          <w:t>25</w:t>
        </w:r>
        <w:r>
          <w:rPr>
            <w:webHidden/>
          </w:rPr>
          <w:fldChar w:fldCharType="end"/>
        </w:r>
      </w:hyperlink>
    </w:p>
    <w:p w14:paraId="69AF8E55" w14:textId="77777777" w:rsidR="00E83B75" w:rsidRDefault="00E83B75">
      <w:pPr>
        <w:pStyle w:val="TOC2"/>
        <w:tabs>
          <w:tab w:val="left" w:pos="1200"/>
        </w:tabs>
        <w:rPr>
          <w:rFonts w:eastAsiaTheme="minorEastAsia"/>
          <w:b w:val="0"/>
          <w:bCs w:val="0"/>
          <w:color w:val="auto"/>
          <w:szCs w:val="24"/>
          <w:lang w:val="en-US" w:eastAsia="en-US"/>
        </w:rPr>
      </w:pPr>
      <w:hyperlink w:anchor="_Toc457162636" w:history="1">
        <w:r w:rsidRPr="00805D4C">
          <w:rPr>
            <w:rStyle w:val="Hyperlink"/>
            <w14:scene3d>
              <w14:camera w14:prst="orthographicFront"/>
              <w14:lightRig w14:rig="threePt" w14:dir="t">
                <w14:rot w14:lat="0" w14:lon="0" w14:rev="0"/>
              </w14:lightRig>
            </w14:scene3d>
          </w:rPr>
          <w:t>Table 4.</w:t>
        </w:r>
        <w:r>
          <w:rPr>
            <w:rFonts w:eastAsiaTheme="minorEastAsia"/>
            <w:b w:val="0"/>
            <w:bCs w:val="0"/>
            <w:color w:val="auto"/>
            <w:szCs w:val="24"/>
            <w:lang w:val="en-US" w:eastAsia="en-US"/>
          </w:rPr>
          <w:tab/>
        </w:r>
        <w:r w:rsidRPr="00805D4C">
          <w:rPr>
            <w:rStyle w:val="Hyperlink"/>
          </w:rPr>
          <w:t>Tax Payments and Times</w:t>
        </w:r>
        <w:r>
          <w:rPr>
            <w:webHidden/>
          </w:rPr>
          <w:tab/>
        </w:r>
        <w:r>
          <w:rPr>
            <w:webHidden/>
          </w:rPr>
          <w:fldChar w:fldCharType="begin"/>
        </w:r>
        <w:r>
          <w:rPr>
            <w:webHidden/>
          </w:rPr>
          <w:instrText xml:space="preserve"> PAGEREF _Toc457162636 \h </w:instrText>
        </w:r>
        <w:r>
          <w:rPr>
            <w:webHidden/>
          </w:rPr>
        </w:r>
        <w:r>
          <w:rPr>
            <w:webHidden/>
          </w:rPr>
          <w:fldChar w:fldCharType="separate"/>
        </w:r>
        <w:r w:rsidR="00004C5E">
          <w:rPr>
            <w:webHidden/>
          </w:rPr>
          <w:t>25</w:t>
        </w:r>
        <w:r>
          <w:rPr>
            <w:webHidden/>
          </w:rPr>
          <w:fldChar w:fldCharType="end"/>
        </w:r>
      </w:hyperlink>
    </w:p>
    <w:p w14:paraId="0EF44659" w14:textId="77777777" w:rsidR="00E83B75" w:rsidRDefault="00E83B75">
      <w:pPr>
        <w:pStyle w:val="TOC2"/>
        <w:tabs>
          <w:tab w:val="left" w:pos="1200"/>
        </w:tabs>
        <w:rPr>
          <w:rFonts w:eastAsiaTheme="minorEastAsia"/>
          <w:b w:val="0"/>
          <w:bCs w:val="0"/>
          <w:color w:val="auto"/>
          <w:szCs w:val="24"/>
          <w:lang w:val="en-US" w:eastAsia="en-US"/>
        </w:rPr>
      </w:pPr>
      <w:hyperlink w:anchor="_Toc457162637" w:history="1">
        <w:r w:rsidRPr="00805D4C">
          <w:rPr>
            <w:rStyle w:val="Hyperlink"/>
            <w14:scene3d>
              <w14:camera w14:prst="orthographicFront"/>
              <w14:lightRig w14:rig="threePt" w14:dir="t">
                <w14:rot w14:lat="0" w14:lon="0" w14:rev="0"/>
              </w14:lightRig>
            </w14:scene3d>
          </w:rPr>
          <w:t>Table 5.</w:t>
        </w:r>
        <w:r>
          <w:rPr>
            <w:rFonts w:eastAsiaTheme="minorEastAsia"/>
            <w:b w:val="0"/>
            <w:bCs w:val="0"/>
            <w:color w:val="auto"/>
            <w:szCs w:val="24"/>
            <w:lang w:val="en-US" w:eastAsia="en-US"/>
          </w:rPr>
          <w:tab/>
        </w:r>
        <w:r w:rsidRPr="00805D4C">
          <w:rPr>
            <w:rStyle w:val="Hyperlink"/>
          </w:rPr>
          <w:t>Customs Documents and Times</w:t>
        </w:r>
        <w:r>
          <w:rPr>
            <w:webHidden/>
          </w:rPr>
          <w:tab/>
        </w:r>
        <w:r>
          <w:rPr>
            <w:webHidden/>
          </w:rPr>
          <w:fldChar w:fldCharType="begin"/>
        </w:r>
        <w:r>
          <w:rPr>
            <w:webHidden/>
          </w:rPr>
          <w:instrText xml:space="preserve"> PAGEREF _Toc457162637 \h </w:instrText>
        </w:r>
        <w:r>
          <w:rPr>
            <w:webHidden/>
          </w:rPr>
        </w:r>
        <w:r>
          <w:rPr>
            <w:webHidden/>
          </w:rPr>
          <w:fldChar w:fldCharType="separate"/>
        </w:r>
        <w:r w:rsidR="00004C5E">
          <w:rPr>
            <w:webHidden/>
          </w:rPr>
          <w:t>25</w:t>
        </w:r>
        <w:r>
          <w:rPr>
            <w:webHidden/>
          </w:rPr>
          <w:fldChar w:fldCharType="end"/>
        </w:r>
      </w:hyperlink>
    </w:p>
    <w:p w14:paraId="4C3B7449" w14:textId="77777777" w:rsidR="00E83B75" w:rsidRDefault="00E83B75">
      <w:pPr>
        <w:pStyle w:val="TOC2"/>
        <w:tabs>
          <w:tab w:val="left" w:pos="1200"/>
        </w:tabs>
        <w:rPr>
          <w:rFonts w:eastAsiaTheme="minorEastAsia"/>
          <w:b w:val="0"/>
          <w:bCs w:val="0"/>
          <w:color w:val="auto"/>
          <w:szCs w:val="24"/>
          <w:lang w:val="en-US" w:eastAsia="en-US"/>
        </w:rPr>
      </w:pPr>
      <w:hyperlink w:anchor="_Toc457162638" w:history="1">
        <w:r w:rsidRPr="00805D4C">
          <w:rPr>
            <w:rStyle w:val="Hyperlink"/>
            <w14:scene3d>
              <w14:camera w14:prst="orthographicFront"/>
              <w14:lightRig w14:rig="threePt" w14:dir="t">
                <w14:rot w14:lat="0" w14:lon="0" w14:rev="0"/>
              </w14:lightRig>
            </w14:scene3d>
          </w:rPr>
          <w:t>Table 6.</w:t>
        </w:r>
        <w:r>
          <w:rPr>
            <w:rFonts w:eastAsiaTheme="minorEastAsia"/>
            <w:b w:val="0"/>
            <w:bCs w:val="0"/>
            <w:color w:val="auto"/>
            <w:szCs w:val="24"/>
            <w:lang w:val="en-US" w:eastAsia="en-US"/>
          </w:rPr>
          <w:tab/>
        </w:r>
        <w:r w:rsidRPr="00805D4C">
          <w:rPr>
            <w:rStyle w:val="Hyperlink"/>
          </w:rPr>
          <w:t>Frequency of Risk Impact Dimensions</w:t>
        </w:r>
        <w:r>
          <w:rPr>
            <w:webHidden/>
          </w:rPr>
          <w:tab/>
        </w:r>
        <w:r>
          <w:rPr>
            <w:webHidden/>
          </w:rPr>
          <w:fldChar w:fldCharType="begin"/>
        </w:r>
        <w:r>
          <w:rPr>
            <w:webHidden/>
          </w:rPr>
          <w:instrText xml:space="preserve"> PAGEREF _Toc457162638 \h </w:instrText>
        </w:r>
        <w:r>
          <w:rPr>
            <w:webHidden/>
          </w:rPr>
        </w:r>
        <w:r>
          <w:rPr>
            <w:webHidden/>
          </w:rPr>
          <w:fldChar w:fldCharType="separate"/>
        </w:r>
        <w:r w:rsidR="00004C5E">
          <w:rPr>
            <w:webHidden/>
          </w:rPr>
          <w:t>29</w:t>
        </w:r>
        <w:r>
          <w:rPr>
            <w:webHidden/>
          </w:rPr>
          <w:fldChar w:fldCharType="end"/>
        </w:r>
      </w:hyperlink>
    </w:p>
    <w:p w14:paraId="1FE8F7F4" w14:textId="77777777" w:rsidR="00E83B75" w:rsidRDefault="00E83B75">
      <w:pPr>
        <w:pStyle w:val="TOC2"/>
        <w:tabs>
          <w:tab w:val="left" w:pos="1200"/>
        </w:tabs>
        <w:rPr>
          <w:rFonts w:eastAsiaTheme="minorEastAsia"/>
          <w:b w:val="0"/>
          <w:bCs w:val="0"/>
          <w:color w:val="auto"/>
          <w:szCs w:val="24"/>
          <w:lang w:val="en-US" w:eastAsia="en-US"/>
        </w:rPr>
      </w:pPr>
      <w:hyperlink w:anchor="_Toc457162639" w:history="1">
        <w:r w:rsidRPr="00805D4C">
          <w:rPr>
            <w:rStyle w:val="Hyperlink"/>
            <w14:scene3d>
              <w14:camera w14:prst="orthographicFront"/>
              <w14:lightRig w14:rig="threePt" w14:dir="t">
                <w14:rot w14:lat="0" w14:lon="0" w14:rev="0"/>
              </w14:lightRig>
            </w14:scene3d>
          </w:rPr>
          <w:t>Table 7.</w:t>
        </w:r>
        <w:r>
          <w:rPr>
            <w:rFonts w:eastAsiaTheme="minorEastAsia"/>
            <w:b w:val="0"/>
            <w:bCs w:val="0"/>
            <w:color w:val="auto"/>
            <w:szCs w:val="24"/>
            <w:lang w:val="en-US" w:eastAsia="en-US"/>
          </w:rPr>
          <w:tab/>
        </w:r>
        <w:r w:rsidRPr="00805D4C">
          <w:rPr>
            <w:rStyle w:val="Hyperlink"/>
          </w:rPr>
          <w:t>Medium Term Resourcing Allocations – Economic &amp; Function (US$)</w:t>
        </w:r>
        <w:r>
          <w:rPr>
            <w:webHidden/>
          </w:rPr>
          <w:tab/>
        </w:r>
        <w:r>
          <w:rPr>
            <w:webHidden/>
          </w:rPr>
          <w:fldChar w:fldCharType="begin"/>
        </w:r>
        <w:r>
          <w:rPr>
            <w:webHidden/>
          </w:rPr>
          <w:instrText xml:space="preserve"> PAGEREF _Toc457162639 \h </w:instrText>
        </w:r>
        <w:r>
          <w:rPr>
            <w:webHidden/>
          </w:rPr>
        </w:r>
        <w:r>
          <w:rPr>
            <w:webHidden/>
          </w:rPr>
          <w:fldChar w:fldCharType="separate"/>
        </w:r>
        <w:r w:rsidR="00004C5E">
          <w:rPr>
            <w:webHidden/>
          </w:rPr>
          <w:t>35</w:t>
        </w:r>
        <w:r>
          <w:rPr>
            <w:webHidden/>
          </w:rPr>
          <w:fldChar w:fldCharType="end"/>
        </w:r>
      </w:hyperlink>
    </w:p>
    <w:p w14:paraId="477D008A" w14:textId="77777777" w:rsidR="00E83B75" w:rsidRDefault="00E83B75">
      <w:pPr>
        <w:pStyle w:val="TOC2"/>
        <w:tabs>
          <w:tab w:val="left" w:pos="1200"/>
        </w:tabs>
        <w:rPr>
          <w:rFonts w:eastAsiaTheme="minorEastAsia"/>
          <w:b w:val="0"/>
          <w:bCs w:val="0"/>
          <w:color w:val="auto"/>
          <w:szCs w:val="24"/>
          <w:lang w:val="en-US" w:eastAsia="en-US"/>
        </w:rPr>
      </w:pPr>
      <w:hyperlink w:anchor="_Toc457162640" w:history="1">
        <w:r w:rsidRPr="00805D4C">
          <w:rPr>
            <w:rStyle w:val="Hyperlink"/>
            <w14:scene3d>
              <w14:camera w14:prst="orthographicFront"/>
              <w14:lightRig w14:rig="threePt" w14:dir="t">
                <w14:rot w14:lat="0" w14:lon="0" w14:rev="0"/>
              </w14:lightRig>
            </w14:scene3d>
          </w:rPr>
          <w:t>Table 8.</w:t>
        </w:r>
        <w:r>
          <w:rPr>
            <w:rFonts w:eastAsiaTheme="minorEastAsia"/>
            <w:b w:val="0"/>
            <w:bCs w:val="0"/>
            <w:color w:val="auto"/>
            <w:szCs w:val="24"/>
            <w:lang w:val="en-US" w:eastAsia="en-US"/>
          </w:rPr>
          <w:tab/>
        </w:r>
        <w:r w:rsidRPr="00805D4C">
          <w:rPr>
            <w:rStyle w:val="Hyperlink"/>
          </w:rPr>
          <w:t>Medium Term Resourcing Costings – by Administrative Unit (US$)</w:t>
        </w:r>
        <w:r>
          <w:rPr>
            <w:webHidden/>
          </w:rPr>
          <w:tab/>
        </w:r>
        <w:r>
          <w:rPr>
            <w:webHidden/>
          </w:rPr>
          <w:fldChar w:fldCharType="begin"/>
        </w:r>
        <w:r>
          <w:rPr>
            <w:webHidden/>
          </w:rPr>
          <w:instrText xml:space="preserve"> PAGEREF _Toc457162640 \h </w:instrText>
        </w:r>
        <w:r>
          <w:rPr>
            <w:webHidden/>
          </w:rPr>
        </w:r>
        <w:r>
          <w:rPr>
            <w:webHidden/>
          </w:rPr>
          <w:fldChar w:fldCharType="separate"/>
        </w:r>
        <w:r w:rsidR="00004C5E">
          <w:rPr>
            <w:webHidden/>
          </w:rPr>
          <w:t>36</w:t>
        </w:r>
        <w:r>
          <w:rPr>
            <w:webHidden/>
          </w:rPr>
          <w:fldChar w:fldCharType="end"/>
        </w:r>
      </w:hyperlink>
    </w:p>
    <w:p w14:paraId="218A911E" w14:textId="77777777" w:rsidR="00E83B75" w:rsidRDefault="00E83B75">
      <w:pPr>
        <w:pStyle w:val="TOC2"/>
        <w:tabs>
          <w:tab w:val="left" w:pos="1200"/>
        </w:tabs>
        <w:rPr>
          <w:rFonts w:eastAsiaTheme="minorEastAsia"/>
          <w:b w:val="0"/>
          <w:bCs w:val="0"/>
          <w:color w:val="auto"/>
          <w:szCs w:val="24"/>
          <w:lang w:val="en-US" w:eastAsia="en-US"/>
        </w:rPr>
      </w:pPr>
      <w:hyperlink w:anchor="_Toc457162641" w:history="1">
        <w:r w:rsidRPr="00805D4C">
          <w:rPr>
            <w:rStyle w:val="Hyperlink"/>
            <w14:scene3d>
              <w14:camera w14:prst="orthographicFront"/>
              <w14:lightRig w14:rig="threePt" w14:dir="t">
                <w14:rot w14:lat="0" w14:lon="0" w14:rev="0"/>
              </w14:lightRig>
            </w14:scene3d>
          </w:rPr>
          <w:t>Table 9.</w:t>
        </w:r>
        <w:r>
          <w:rPr>
            <w:rFonts w:eastAsiaTheme="minorEastAsia"/>
            <w:b w:val="0"/>
            <w:bCs w:val="0"/>
            <w:color w:val="auto"/>
            <w:szCs w:val="24"/>
            <w:lang w:val="en-US" w:eastAsia="en-US"/>
          </w:rPr>
          <w:tab/>
        </w:r>
        <w:r w:rsidRPr="00805D4C">
          <w:rPr>
            <w:rStyle w:val="Hyperlink"/>
          </w:rPr>
          <w:t>Aspirational PEFA Targets</w:t>
        </w:r>
        <w:r>
          <w:rPr>
            <w:webHidden/>
          </w:rPr>
          <w:tab/>
        </w:r>
        <w:r>
          <w:rPr>
            <w:webHidden/>
          </w:rPr>
          <w:fldChar w:fldCharType="begin"/>
        </w:r>
        <w:r>
          <w:rPr>
            <w:webHidden/>
          </w:rPr>
          <w:instrText xml:space="preserve"> PAGEREF _Toc457162641 \h </w:instrText>
        </w:r>
        <w:r>
          <w:rPr>
            <w:webHidden/>
          </w:rPr>
        </w:r>
        <w:r>
          <w:rPr>
            <w:webHidden/>
          </w:rPr>
          <w:fldChar w:fldCharType="separate"/>
        </w:r>
        <w:r w:rsidR="00004C5E">
          <w:rPr>
            <w:webHidden/>
          </w:rPr>
          <w:t>40</w:t>
        </w:r>
        <w:r>
          <w:rPr>
            <w:webHidden/>
          </w:rPr>
          <w:fldChar w:fldCharType="end"/>
        </w:r>
      </w:hyperlink>
    </w:p>
    <w:p w14:paraId="5BEDDD5A" w14:textId="77777777" w:rsidR="00E83B75" w:rsidRDefault="00E83B75">
      <w:pPr>
        <w:pStyle w:val="TOC2"/>
        <w:tabs>
          <w:tab w:val="left" w:pos="1200"/>
        </w:tabs>
        <w:rPr>
          <w:rFonts w:eastAsiaTheme="minorEastAsia"/>
          <w:b w:val="0"/>
          <w:bCs w:val="0"/>
          <w:color w:val="auto"/>
          <w:szCs w:val="24"/>
          <w:lang w:val="en-US" w:eastAsia="en-US"/>
        </w:rPr>
      </w:pPr>
      <w:hyperlink w:anchor="_Toc457162642" w:history="1">
        <w:r w:rsidRPr="00805D4C">
          <w:rPr>
            <w:rStyle w:val="Hyperlink"/>
            <w14:scene3d>
              <w14:camera w14:prst="orthographicFront"/>
              <w14:lightRig w14:rig="threePt" w14:dir="t">
                <w14:rot w14:lat="0" w14:lon="0" w14:rev="0"/>
              </w14:lightRig>
            </w14:scene3d>
          </w:rPr>
          <w:t>Table 10.</w:t>
        </w:r>
        <w:r>
          <w:rPr>
            <w:rFonts w:eastAsiaTheme="minorEastAsia"/>
            <w:b w:val="0"/>
            <w:bCs w:val="0"/>
            <w:color w:val="auto"/>
            <w:szCs w:val="24"/>
            <w:lang w:val="en-US" w:eastAsia="en-US"/>
          </w:rPr>
          <w:tab/>
        </w:r>
        <w:r w:rsidRPr="00805D4C">
          <w:rPr>
            <w:rStyle w:val="Hyperlink"/>
          </w:rPr>
          <w:t>Aspirational Targets for Selected Upgraded PEFA Indicators</w:t>
        </w:r>
        <w:r>
          <w:rPr>
            <w:webHidden/>
          </w:rPr>
          <w:tab/>
        </w:r>
        <w:r>
          <w:rPr>
            <w:webHidden/>
          </w:rPr>
          <w:fldChar w:fldCharType="begin"/>
        </w:r>
        <w:r>
          <w:rPr>
            <w:webHidden/>
          </w:rPr>
          <w:instrText xml:space="preserve"> PAGEREF _Toc457162642 \h </w:instrText>
        </w:r>
        <w:r>
          <w:rPr>
            <w:webHidden/>
          </w:rPr>
        </w:r>
        <w:r>
          <w:rPr>
            <w:webHidden/>
          </w:rPr>
          <w:fldChar w:fldCharType="separate"/>
        </w:r>
        <w:r w:rsidR="00004C5E">
          <w:rPr>
            <w:webHidden/>
          </w:rPr>
          <w:t>44</w:t>
        </w:r>
        <w:r>
          <w:rPr>
            <w:webHidden/>
          </w:rPr>
          <w:fldChar w:fldCharType="end"/>
        </w:r>
      </w:hyperlink>
    </w:p>
    <w:p w14:paraId="4F519B0A" w14:textId="77777777" w:rsidR="00E83B75" w:rsidRDefault="00E83B75">
      <w:pPr>
        <w:pStyle w:val="TOC2"/>
        <w:tabs>
          <w:tab w:val="left" w:pos="1200"/>
        </w:tabs>
        <w:rPr>
          <w:rFonts w:eastAsiaTheme="minorEastAsia"/>
          <w:b w:val="0"/>
          <w:bCs w:val="0"/>
          <w:color w:val="auto"/>
          <w:szCs w:val="24"/>
          <w:lang w:val="en-US" w:eastAsia="en-US"/>
        </w:rPr>
      </w:pPr>
      <w:hyperlink w:anchor="_Toc457162643" w:history="1">
        <w:r w:rsidRPr="00805D4C">
          <w:rPr>
            <w:rStyle w:val="Hyperlink"/>
            <w14:scene3d>
              <w14:camera w14:prst="orthographicFront"/>
              <w14:lightRig w14:rig="threePt" w14:dir="t">
                <w14:rot w14:lat="0" w14:lon="0" w14:rev="0"/>
              </w14:lightRig>
            </w14:scene3d>
          </w:rPr>
          <w:t>Table 11.</w:t>
        </w:r>
        <w:r>
          <w:rPr>
            <w:rFonts w:eastAsiaTheme="minorEastAsia"/>
            <w:b w:val="0"/>
            <w:bCs w:val="0"/>
            <w:color w:val="auto"/>
            <w:szCs w:val="24"/>
            <w:lang w:val="en-US" w:eastAsia="en-US"/>
          </w:rPr>
          <w:tab/>
        </w:r>
        <w:r w:rsidRPr="00805D4C">
          <w:rPr>
            <w:rStyle w:val="Hyperlink"/>
          </w:rPr>
          <w:t>Aspirational OBI Targets</w:t>
        </w:r>
        <w:r>
          <w:rPr>
            <w:webHidden/>
          </w:rPr>
          <w:tab/>
        </w:r>
        <w:r>
          <w:rPr>
            <w:webHidden/>
          </w:rPr>
          <w:fldChar w:fldCharType="begin"/>
        </w:r>
        <w:r>
          <w:rPr>
            <w:webHidden/>
          </w:rPr>
          <w:instrText xml:space="preserve"> PAGEREF _Toc457162643 \h </w:instrText>
        </w:r>
        <w:r>
          <w:rPr>
            <w:webHidden/>
          </w:rPr>
        </w:r>
        <w:r>
          <w:rPr>
            <w:webHidden/>
          </w:rPr>
          <w:fldChar w:fldCharType="separate"/>
        </w:r>
        <w:r w:rsidR="00004C5E">
          <w:rPr>
            <w:webHidden/>
          </w:rPr>
          <w:t>53</w:t>
        </w:r>
        <w:r>
          <w:rPr>
            <w:webHidden/>
          </w:rPr>
          <w:fldChar w:fldCharType="end"/>
        </w:r>
      </w:hyperlink>
    </w:p>
    <w:p w14:paraId="08B5A434" w14:textId="77777777" w:rsidR="00E83B75" w:rsidRDefault="00E83B75">
      <w:pPr>
        <w:pStyle w:val="TOC2"/>
        <w:tabs>
          <w:tab w:val="left" w:pos="1200"/>
        </w:tabs>
        <w:rPr>
          <w:rFonts w:eastAsiaTheme="minorEastAsia"/>
          <w:b w:val="0"/>
          <w:bCs w:val="0"/>
          <w:color w:val="auto"/>
          <w:szCs w:val="24"/>
          <w:lang w:val="en-US" w:eastAsia="en-US"/>
        </w:rPr>
      </w:pPr>
      <w:hyperlink w:anchor="_Toc457162644" w:history="1">
        <w:r w:rsidRPr="00805D4C">
          <w:rPr>
            <w:rStyle w:val="Hyperlink"/>
            <w14:scene3d>
              <w14:camera w14:prst="orthographicFront"/>
              <w14:lightRig w14:rig="threePt" w14:dir="t">
                <w14:rot w14:lat="0" w14:lon="0" w14:rev="0"/>
              </w14:lightRig>
            </w14:scene3d>
          </w:rPr>
          <w:t>Table 12.</w:t>
        </w:r>
        <w:r>
          <w:rPr>
            <w:rFonts w:eastAsiaTheme="minorEastAsia"/>
            <w:b w:val="0"/>
            <w:bCs w:val="0"/>
            <w:color w:val="auto"/>
            <w:szCs w:val="24"/>
            <w:lang w:val="en-US" w:eastAsia="en-US"/>
          </w:rPr>
          <w:tab/>
        </w:r>
        <w:r w:rsidRPr="00805D4C">
          <w:rPr>
            <w:rStyle w:val="Hyperlink"/>
          </w:rPr>
          <w:t>Statistical Capacity Indicators</w:t>
        </w:r>
        <w:r>
          <w:rPr>
            <w:webHidden/>
          </w:rPr>
          <w:tab/>
        </w:r>
        <w:r>
          <w:rPr>
            <w:webHidden/>
          </w:rPr>
          <w:fldChar w:fldCharType="begin"/>
        </w:r>
        <w:r>
          <w:rPr>
            <w:webHidden/>
          </w:rPr>
          <w:instrText xml:space="preserve"> PAGEREF _Toc457162644 \h </w:instrText>
        </w:r>
        <w:r>
          <w:rPr>
            <w:webHidden/>
          </w:rPr>
        </w:r>
        <w:r>
          <w:rPr>
            <w:webHidden/>
          </w:rPr>
          <w:fldChar w:fldCharType="separate"/>
        </w:r>
        <w:r w:rsidR="00004C5E">
          <w:rPr>
            <w:webHidden/>
          </w:rPr>
          <w:t>60</w:t>
        </w:r>
        <w:r>
          <w:rPr>
            <w:webHidden/>
          </w:rPr>
          <w:fldChar w:fldCharType="end"/>
        </w:r>
      </w:hyperlink>
    </w:p>
    <w:p w14:paraId="3B692300" w14:textId="77777777" w:rsidR="00E83B75" w:rsidRDefault="00E83B75">
      <w:pPr>
        <w:pStyle w:val="TOC2"/>
        <w:tabs>
          <w:tab w:val="left" w:pos="1200"/>
        </w:tabs>
        <w:rPr>
          <w:rFonts w:eastAsiaTheme="minorEastAsia"/>
          <w:b w:val="0"/>
          <w:bCs w:val="0"/>
          <w:color w:val="auto"/>
          <w:szCs w:val="24"/>
          <w:lang w:val="en-US" w:eastAsia="en-US"/>
        </w:rPr>
      </w:pPr>
      <w:hyperlink w:anchor="_Toc457162645" w:history="1">
        <w:r w:rsidRPr="00805D4C">
          <w:rPr>
            <w:rStyle w:val="Hyperlink"/>
            <w14:scene3d>
              <w14:camera w14:prst="orthographicFront"/>
              <w14:lightRig w14:rig="threePt" w14:dir="t">
                <w14:rot w14:lat="0" w14:lon="0" w14:rev="0"/>
              </w14:lightRig>
            </w14:scene3d>
          </w:rPr>
          <w:t>Table 13.</w:t>
        </w:r>
        <w:r>
          <w:rPr>
            <w:rFonts w:eastAsiaTheme="minorEastAsia"/>
            <w:b w:val="0"/>
            <w:bCs w:val="0"/>
            <w:color w:val="auto"/>
            <w:szCs w:val="24"/>
            <w:lang w:val="en-US" w:eastAsia="en-US"/>
          </w:rPr>
          <w:tab/>
        </w:r>
        <w:r w:rsidRPr="00805D4C">
          <w:rPr>
            <w:rStyle w:val="Hyperlink"/>
          </w:rPr>
          <w:t>Explanations of Sector Budget Support Design Elements</w:t>
        </w:r>
        <w:r>
          <w:rPr>
            <w:webHidden/>
          </w:rPr>
          <w:tab/>
        </w:r>
        <w:r>
          <w:rPr>
            <w:webHidden/>
          </w:rPr>
          <w:fldChar w:fldCharType="begin"/>
        </w:r>
        <w:r>
          <w:rPr>
            <w:webHidden/>
          </w:rPr>
          <w:instrText xml:space="preserve"> PAGEREF _Toc457162645 \h </w:instrText>
        </w:r>
        <w:r>
          <w:rPr>
            <w:webHidden/>
          </w:rPr>
        </w:r>
        <w:r>
          <w:rPr>
            <w:webHidden/>
          </w:rPr>
          <w:fldChar w:fldCharType="separate"/>
        </w:r>
        <w:r w:rsidR="00004C5E">
          <w:rPr>
            <w:webHidden/>
          </w:rPr>
          <w:t>63</w:t>
        </w:r>
        <w:r>
          <w:rPr>
            <w:webHidden/>
          </w:rPr>
          <w:fldChar w:fldCharType="end"/>
        </w:r>
      </w:hyperlink>
    </w:p>
    <w:p w14:paraId="4B70951C" w14:textId="77777777" w:rsidR="00E83B75" w:rsidRDefault="00E83B75">
      <w:pPr>
        <w:pStyle w:val="TOC2"/>
        <w:tabs>
          <w:tab w:val="left" w:pos="1200"/>
        </w:tabs>
        <w:rPr>
          <w:rFonts w:eastAsiaTheme="minorEastAsia"/>
          <w:b w:val="0"/>
          <w:bCs w:val="0"/>
          <w:color w:val="auto"/>
          <w:szCs w:val="24"/>
          <w:lang w:val="en-US" w:eastAsia="en-US"/>
        </w:rPr>
      </w:pPr>
      <w:hyperlink w:anchor="_Toc457162646" w:history="1">
        <w:r w:rsidRPr="00805D4C">
          <w:rPr>
            <w:rStyle w:val="Hyperlink"/>
            <w14:scene3d>
              <w14:camera w14:prst="orthographicFront"/>
              <w14:lightRig w14:rig="threePt" w14:dir="t">
                <w14:rot w14:lat="0" w14:lon="0" w14:rev="0"/>
              </w14:lightRig>
            </w14:scene3d>
          </w:rPr>
          <w:t>Table 14.</w:t>
        </w:r>
        <w:r>
          <w:rPr>
            <w:rFonts w:eastAsiaTheme="minorEastAsia"/>
            <w:b w:val="0"/>
            <w:bCs w:val="0"/>
            <w:color w:val="auto"/>
            <w:szCs w:val="24"/>
            <w:lang w:val="en-US" w:eastAsia="en-US"/>
          </w:rPr>
          <w:tab/>
        </w:r>
        <w:r w:rsidRPr="00805D4C">
          <w:rPr>
            <w:rStyle w:val="Hyperlink"/>
          </w:rPr>
          <w:t>Costings by Directorate (US$)</w:t>
        </w:r>
        <w:r>
          <w:rPr>
            <w:webHidden/>
          </w:rPr>
          <w:tab/>
        </w:r>
        <w:r>
          <w:rPr>
            <w:webHidden/>
          </w:rPr>
          <w:fldChar w:fldCharType="begin"/>
        </w:r>
        <w:r>
          <w:rPr>
            <w:webHidden/>
          </w:rPr>
          <w:instrText xml:space="preserve"> PAGEREF _Toc457162646 \h </w:instrText>
        </w:r>
        <w:r>
          <w:rPr>
            <w:webHidden/>
          </w:rPr>
        </w:r>
        <w:r>
          <w:rPr>
            <w:webHidden/>
          </w:rPr>
          <w:fldChar w:fldCharType="separate"/>
        </w:r>
        <w:r w:rsidR="00004C5E">
          <w:rPr>
            <w:webHidden/>
          </w:rPr>
          <w:t>69</w:t>
        </w:r>
        <w:r>
          <w:rPr>
            <w:webHidden/>
          </w:rPr>
          <w:fldChar w:fldCharType="end"/>
        </w:r>
      </w:hyperlink>
    </w:p>
    <w:p w14:paraId="39153268" w14:textId="77777777" w:rsidR="00E83B75" w:rsidRDefault="00E83B75">
      <w:pPr>
        <w:pStyle w:val="TOC2"/>
        <w:tabs>
          <w:tab w:val="left" w:pos="1200"/>
        </w:tabs>
        <w:rPr>
          <w:rFonts w:eastAsiaTheme="minorEastAsia"/>
          <w:b w:val="0"/>
          <w:bCs w:val="0"/>
          <w:color w:val="auto"/>
          <w:szCs w:val="24"/>
          <w:lang w:val="en-US" w:eastAsia="en-US"/>
        </w:rPr>
      </w:pPr>
      <w:hyperlink w:anchor="_Toc457162647" w:history="1">
        <w:r w:rsidRPr="00805D4C">
          <w:rPr>
            <w:rStyle w:val="Hyperlink"/>
            <w14:scene3d>
              <w14:camera w14:prst="orthographicFront"/>
              <w14:lightRig w14:rig="threePt" w14:dir="t">
                <w14:rot w14:lat="0" w14:lon="0" w14:rev="0"/>
              </w14:lightRig>
            </w14:scene3d>
          </w:rPr>
          <w:t>Table 15.</w:t>
        </w:r>
        <w:r>
          <w:rPr>
            <w:rFonts w:eastAsiaTheme="minorEastAsia"/>
            <w:b w:val="0"/>
            <w:bCs w:val="0"/>
            <w:color w:val="auto"/>
            <w:szCs w:val="24"/>
            <w:lang w:val="en-US" w:eastAsia="en-US"/>
          </w:rPr>
          <w:tab/>
        </w:r>
        <w:r w:rsidRPr="00805D4C">
          <w:rPr>
            <w:rStyle w:val="Hyperlink"/>
          </w:rPr>
          <w:t>Medium Term Costings by Economic Classification (US$)</w:t>
        </w:r>
        <w:r>
          <w:rPr>
            <w:webHidden/>
          </w:rPr>
          <w:tab/>
        </w:r>
        <w:r>
          <w:rPr>
            <w:webHidden/>
          </w:rPr>
          <w:fldChar w:fldCharType="begin"/>
        </w:r>
        <w:r>
          <w:rPr>
            <w:webHidden/>
          </w:rPr>
          <w:instrText xml:space="preserve"> PAGEREF _Toc457162647 \h </w:instrText>
        </w:r>
        <w:r>
          <w:rPr>
            <w:webHidden/>
          </w:rPr>
        </w:r>
        <w:r>
          <w:rPr>
            <w:webHidden/>
          </w:rPr>
          <w:fldChar w:fldCharType="separate"/>
        </w:r>
        <w:r w:rsidR="00004C5E">
          <w:rPr>
            <w:webHidden/>
          </w:rPr>
          <w:t>72</w:t>
        </w:r>
        <w:r>
          <w:rPr>
            <w:webHidden/>
          </w:rPr>
          <w:fldChar w:fldCharType="end"/>
        </w:r>
      </w:hyperlink>
    </w:p>
    <w:p w14:paraId="7D3B9472" w14:textId="77777777" w:rsidR="00E83B75" w:rsidRDefault="00E83B75">
      <w:pPr>
        <w:pStyle w:val="TOC2"/>
        <w:tabs>
          <w:tab w:val="left" w:pos="1200"/>
        </w:tabs>
        <w:rPr>
          <w:rFonts w:eastAsiaTheme="minorEastAsia"/>
          <w:b w:val="0"/>
          <w:bCs w:val="0"/>
          <w:color w:val="auto"/>
          <w:szCs w:val="24"/>
          <w:lang w:val="en-US" w:eastAsia="en-US"/>
        </w:rPr>
      </w:pPr>
      <w:hyperlink w:anchor="_Toc457162648" w:history="1">
        <w:r w:rsidRPr="00805D4C">
          <w:rPr>
            <w:rStyle w:val="Hyperlink"/>
            <w14:scene3d>
              <w14:camera w14:prst="orthographicFront"/>
              <w14:lightRig w14:rig="threePt" w14:dir="t">
                <w14:rot w14:lat="0" w14:lon="0" w14:rev="0"/>
              </w14:lightRig>
            </w14:scene3d>
          </w:rPr>
          <w:t>Table 16.</w:t>
        </w:r>
        <w:r>
          <w:rPr>
            <w:rFonts w:eastAsiaTheme="minorEastAsia"/>
            <w:b w:val="0"/>
            <w:bCs w:val="0"/>
            <w:color w:val="auto"/>
            <w:szCs w:val="24"/>
            <w:lang w:val="en-US" w:eastAsia="en-US"/>
          </w:rPr>
          <w:tab/>
        </w:r>
        <w:r w:rsidRPr="00805D4C">
          <w:rPr>
            <w:rStyle w:val="Hyperlink"/>
          </w:rPr>
          <w:t>Medium Term Costings by Function Classification (US$)</w:t>
        </w:r>
        <w:r>
          <w:rPr>
            <w:webHidden/>
          </w:rPr>
          <w:tab/>
        </w:r>
        <w:r>
          <w:rPr>
            <w:webHidden/>
          </w:rPr>
          <w:fldChar w:fldCharType="begin"/>
        </w:r>
        <w:r>
          <w:rPr>
            <w:webHidden/>
          </w:rPr>
          <w:instrText xml:space="preserve"> PAGEREF _Toc457162648 \h </w:instrText>
        </w:r>
        <w:r>
          <w:rPr>
            <w:webHidden/>
          </w:rPr>
        </w:r>
        <w:r>
          <w:rPr>
            <w:webHidden/>
          </w:rPr>
          <w:fldChar w:fldCharType="separate"/>
        </w:r>
        <w:r w:rsidR="00004C5E">
          <w:rPr>
            <w:webHidden/>
          </w:rPr>
          <w:t>72</w:t>
        </w:r>
        <w:r>
          <w:rPr>
            <w:webHidden/>
          </w:rPr>
          <w:fldChar w:fldCharType="end"/>
        </w:r>
      </w:hyperlink>
    </w:p>
    <w:p w14:paraId="15DB9C0A" w14:textId="22093C50" w:rsidR="0023087D" w:rsidRPr="00BA5328" w:rsidRDefault="0023087D">
      <w:pPr>
        <w:spacing w:after="200" w:line="312" w:lineRule="auto"/>
        <w:rPr>
          <w:sz w:val="22"/>
          <w:lang w:val="en-GB"/>
        </w:rPr>
      </w:pPr>
      <w:r w:rsidRPr="001E0B57">
        <w:rPr>
          <w:rFonts w:asciiTheme="minorHAnsi" w:hAnsiTheme="minorHAnsi"/>
          <w:sz w:val="20"/>
          <w:szCs w:val="20"/>
          <w:lang w:val="en-GB"/>
        </w:rPr>
        <w:fldChar w:fldCharType="end"/>
      </w:r>
    </w:p>
    <w:p w14:paraId="4C0CE9AB" w14:textId="30395AA1" w:rsidR="0023087D" w:rsidRPr="00BA5328" w:rsidRDefault="0023087D" w:rsidP="0023087D">
      <w:pPr>
        <w:pStyle w:val="TOCHeading"/>
        <w:spacing w:after="360"/>
        <w:rPr>
          <w:sz w:val="32"/>
        </w:rPr>
      </w:pPr>
      <w:r w:rsidRPr="00BA5328">
        <w:rPr>
          <w:rStyle w:val="Emphasis"/>
          <w:sz w:val="44"/>
        </w:rPr>
        <w:t>Figures</w:t>
      </w:r>
    </w:p>
    <w:p w14:paraId="2E2273E8" w14:textId="77777777" w:rsidR="00E83B75" w:rsidRDefault="0023087D">
      <w:pPr>
        <w:pStyle w:val="TOC2"/>
        <w:tabs>
          <w:tab w:val="left" w:pos="1200"/>
        </w:tabs>
        <w:rPr>
          <w:rFonts w:eastAsiaTheme="minorEastAsia"/>
          <w:b w:val="0"/>
          <w:bCs w:val="0"/>
          <w:color w:val="auto"/>
          <w:szCs w:val="24"/>
          <w:lang w:val="en-US" w:eastAsia="en-US"/>
        </w:rPr>
      </w:pPr>
      <w:r w:rsidRPr="001E0B57">
        <w:rPr>
          <w:b w:val="0"/>
          <w:bCs w:val="0"/>
          <w:sz w:val="20"/>
        </w:rPr>
        <w:fldChar w:fldCharType="begin"/>
      </w:r>
      <w:r w:rsidRPr="001E0B57">
        <w:rPr>
          <w:b w:val="0"/>
          <w:bCs w:val="0"/>
          <w:sz w:val="20"/>
        </w:rPr>
        <w:instrText xml:space="preserve"> TOC \h \z \t "Figure Header,2" </w:instrText>
      </w:r>
      <w:r w:rsidRPr="001E0B57">
        <w:rPr>
          <w:b w:val="0"/>
          <w:bCs w:val="0"/>
          <w:sz w:val="20"/>
        </w:rPr>
        <w:fldChar w:fldCharType="separate"/>
      </w:r>
      <w:hyperlink w:anchor="_Toc457162649" w:history="1">
        <w:r w:rsidR="00E83B75" w:rsidRPr="00D9691A">
          <w:rPr>
            <w:rStyle w:val="Hyperlink"/>
            <w14:scene3d>
              <w14:camera w14:prst="orthographicFront"/>
              <w14:lightRig w14:rig="threePt" w14:dir="t">
                <w14:rot w14:lat="0" w14:lon="0" w14:rev="0"/>
              </w14:lightRig>
            </w14:scene3d>
          </w:rPr>
          <w:t>Figure 1.</w:t>
        </w:r>
        <w:r w:rsidR="00E83B75">
          <w:rPr>
            <w:rFonts w:eastAsiaTheme="minorEastAsia"/>
            <w:b w:val="0"/>
            <w:bCs w:val="0"/>
            <w:color w:val="auto"/>
            <w:szCs w:val="24"/>
            <w:lang w:val="en-US" w:eastAsia="en-US"/>
          </w:rPr>
          <w:tab/>
        </w:r>
        <w:r w:rsidR="00E83B75" w:rsidRPr="00D9691A">
          <w:rPr>
            <w:rStyle w:val="Hyperlink"/>
          </w:rPr>
          <w:t>The Continuous Performance Improvement Cycle</w:t>
        </w:r>
        <w:r w:rsidR="00E83B75">
          <w:rPr>
            <w:webHidden/>
          </w:rPr>
          <w:tab/>
        </w:r>
        <w:r w:rsidR="00E83B75">
          <w:rPr>
            <w:webHidden/>
          </w:rPr>
          <w:fldChar w:fldCharType="begin"/>
        </w:r>
        <w:r w:rsidR="00E83B75">
          <w:rPr>
            <w:webHidden/>
          </w:rPr>
          <w:instrText xml:space="preserve"> PAGEREF _Toc457162649 \h </w:instrText>
        </w:r>
        <w:r w:rsidR="00E83B75">
          <w:rPr>
            <w:webHidden/>
          </w:rPr>
        </w:r>
        <w:r w:rsidR="00E83B75">
          <w:rPr>
            <w:webHidden/>
          </w:rPr>
          <w:fldChar w:fldCharType="separate"/>
        </w:r>
        <w:r w:rsidR="00004C5E">
          <w:rPr>
            <w:webHidden/>
          </w:rPr>
          <w:t>10</w:t>
        </w:r>
        <w:r w:rsidR="00E83B75">
          <w:rPr>
            <w:webHidden/>
          </w:rPr>
          <w:fldChar w:fldCharType="end"/>
        </w:r>
      </w:hyperlink>
    </w:p>
    <w:p w14:paraId="7AC54F8A" w14:textId="77777777" w:rsidR="00E83B75" w:rsidRDefault="00E83B75">
      <w:pPr>
        <w:pStyle w:val="TOC2"/>
        <w:tabs>
          <w:tab w:val="left" w:pos="1200"/>
        </w:tabs>
        <w:rPr>
          <w:rFonts w:eastAsiaTheme="minorEastAsia"/>
          <w:b w:val="0"/>
          <w:bCs w:val="0"/>
          <w:color w:val="auto"/>
          <w:szCs w:val="24"/>
          <w:lang w:val="en-US" w:eastAsia="en-US"/>
        </w:rPr>
      </w:pPr>
      <w:hyperlink w:anchor="_Toc457162650" w:history="1">
        <w:r w:rsidRPr="00D9691A">
          <w:rPr>
            <w:rStyle w:val="Hyperlink"/>
            <w14:scene3d>
              <w14:camera w14:prst="orthographicFront"/>
              <w14:lightRig w14:rig="threePt" w14:dir="t">
                <w14:rot w14:lat="0" w14:lon="0" w14:rev="0"/>
              </w14:lightRig>
            </w14:scene3d>
          </w:rPr>
          <w:t>Figure 2.</w:t>
        </w:r>
        <w:r>
          <w:rPr>
            <w:rFonts w:eastAsiaTheme="minorEastAsia"/>
            <w:b w:val="0"/>
            <w:bCs w:val="0"/>
            <w:color w:val="auto"/>
            <w:szCs w:val="24"/>
            <w:lang w:val="en-US" w:eastAsia="en-US"/>
          </w:rPr>
          <w:tab/>
        </w:r>
        <w:r w:rsidRPr="00D9691A">
          <w:rPr>
            <w:rStyle w:val="Hyperlink"/>
          </w:rPr>
          <w:t>The 2016 – 17 Performance Management Cycle</w:t>
        </w:r>
        <w:r>
          <w:rPr>
            <w:webHidden/>
          </w:rPr>
          <w:tab/>
        </w:r>
        <w:r>
          <w:rPr>
            <w:webHidden/>
          </w:rPr>
          <w:fldChar w:fldCharType="begin"/>
        </w:r>
        <w:r>
          <w:rPr>
            <w:webHidden/>
          </w:rPr>
          <w:instrText xml:space="preserve"> PAGEREF _Toc457162650 \h </w:instrText>
        </w:r>
        <w:r>
          <w:rPr>
            <w:webHidden/>
          </w:rPr>
        </w:r>
        <w:r>
          <w:rPr>
            <w:webHidden/>
          </w:rPr>
          <w:fldChar w:fldCharType="separate"/>
        </w:r>
        <w:r w:rsidR="00004C5E">
          <w:rPr>
            <w:webHidden/>
          </w:rPr>
          <w:t>13</w:t>
        </w:r>
        <w:r>
          <w:rPr>
            <w:webHidden/>
          </w:rPr>
          <w:fldChar w:fldCharType="end"/>
        </w:r>
      </w:hyperlink>
    </w:p>
    <w:p w14:paraId="7E894D2D" w14:textId="77777777" w:rsidR="00E83B75" w:rsidRDefault="00E83B75">
      <w:pPr>
        <w:pStyle w:val="TOC2"/>
        <w:tabs>
          <w:tab w:val="left" w:pos="1200"/>
        </w:tabs>
        <w:rPr>
          <w:rFonts w:eastAsiaTheme="minorEastAsia"/>
          <w:b w:val="0"/>
          <w:bCs w:val="0"/>
          <w:color w:val="auto"/>
          <w:szCs w:val="24"/>
          <w:lang w:val="en-US" w:eastAsia="en-US"/>
        </w:rPr>
      </w:pPr>
      <w:hyperlink w:anchor="_Toc457162651" w:history="1">
        <w:r w:rsidRPr="00D9691A">
          <w:rPr>
            <w:rStyle w:val="Hyperlink"/>
            <w14:scene3d>
              <w14:camera w14:prst="orthographicFront"/>
              <w14:lightRig w14:rig="threePt" w14:dir="t">
                <w14:rot w14:lat="0" w14:lon="0" w14:rev="0"/>
              </w14:lightRig>
            </w14:scene3d>
          </w:rPr>
          <w:t>Figure 3.</w:t>
        </w:r>
        <w:r>
          <w:rPr>
            <w:rFonts w:eastAsiaTheme="minorEastAsia"/>
            <w:b w:val="0"/>
            <w:bCs w:val="0"/>
            <w:color w:val="auto"/>
            <w:szCs w:val="24"/>
            <w:lang w:val="en-US" w:eastAsia="en-US"/>
          </w:rPr>
          <w:tab/>
        </w:r>
        <w:r w:rsidRPr="00D9691A">
          <w:rPr>
            <w:rStyle w:val="Hyperlink"/>
          </w:rPr>
          <w:t>Aspirational Targets for PEFA and PEFA-10</w:t>
        </w:r>
        <w:r>
          <w:rPr>
            <w:webHidden/>
          </w:rPr>
          <w:tab/>
        </w:r>
        <w:r>
          <w:rPr>
            <w:webHidden/>
          </w:rPr>
          <w:fldChar w:fldCharType="begin"/>
        </w:r>
        <w:r>
          <w:rPr>
            <w:webHidden/>
          </w:rPr>
          <w:instrText xml:space="preserve"> PAGEREF _Toc457162651 \h </w:instrText>
        </w:r>
        <w:r>
          <w:rPr>
            <w:webHidden/>
          </w:rPr>
        </w:r>
        <w:r>
          <w:rPr>
            <w:webHidden/>
          </w:rPr>
          <w:fldChar w:fldCharType="separate"/>
        </w:r>
        <w:r w:rsidR="00004C5E">
          <w:rPr>
            <w:webHidden/>
          </w:rPr>
          <w:t>20</w:t>
        </w:r>
        <w:r>
          <w:rPr>
            <w:webHidden/>
          </w:rPr>
          <w:fldChar w:fldCharType="end"/>
        </w:r>
      </w:hyperlink>
    </w:p>
    <w:p w14:paraId="7462B4DA" w14:textId="77777777" w:rsidR="00E83B75" w:rsidRDefault="00E83B75">
      <w:pPr>
        <w:pStyle w:val="TOC2"/>
        <w:tabs>
          <w:tab w:val="left" w:pos="1200"/>
        </w:tabs>
        <w:rPr>
          <w:rFonts w:eastAsiaTheme="minorEastAsia"/>
          <w:b w:val="0"/>
          <w:bCs w:val="0"/>
          <w:color w:val="auto"/>
          <w:szCs w:val="24"/>
          <w:lang w:val="en-US" w:eastAsia="en-US"/>
        </w:rPr>
      </w:pPr>
      <w:hyperlink w:anchor="_Toc457162652" w:history="1">
        <w:r w:rsidRPr="00D9691A">
          <w:rPr>
            <w:rStyle w:val="Hyperlink"/>
            <w14:scene3d>
              <w14:camera w14:prst="orthographicFront"/>
              <w14:lightRig w14:rig="threePt" w14:dir="t">
                <w14:rot w14:lat="0" w14:lon="0" w14:rev="0"/>
              </w14:lightRig>
            </w14:scene3d>
          </w:rPr>
          <w:t>Figure 4.</w:t>
        </w:r>
        <w:r>
          <w:rPr>
            <w:rFonts w:eastAsiaTheme="minorEastAsia"/>
            <w:b w:val="0"/>
            <w:bCs w:val="0"/>
            <w:color w:val="auto"/>
            <w:szCs w:val="24"/>
            <w:lang w:val="en-US" w:eastAsia="en-US"/>
          </w:rPr>
          <w:tab/>
        </w:r>
        <w:r w:rsidRPr="00D9691A">
          <w:rPr>
            <w:rStyle w:val="Hyperlink"/>
          </w:rPr>
          <w:t>Selected Aspirational Targets for Upgraded PEFA</w:t>
        </w:r>
        <w:r>
          <w:rPr>
            <w:webHidden/>
          </w:rPr>
          <w:tab/>
        </w:r>
        <w:r>
          <w:rPr>
            <w:webHidden/>
          </w:rPr>
          <w:fldChar w:fldCharType="begin"/>
        </w:r>
        <w:r>
          <w:rPr>
            <w:webHidden/>
          </w:rPr>
          <w:instrText xml:space="preserve"> PAGEREF _Toc457162652 \h </w:instrText>
        </w:r>
        <w:r>
          <w:rPr>
            <w:webHidden/>
          </w:rPr>
        </w:r>
        <w:r>
          <w:rPr>
            <w:webHidden/>
          </w:rPr>
          <w:fldChar w:fldCharType="separate"/>
        </w:r>
        <w:r w:rsidR="00004C5E">
          <w:rPr>
            <w:webHidden/>
          </w:rPr>
          <w:t>21</w:t>
        </w:r>
        <w:r>
          <w:rPr>
            <w:webHidden/>
          </w:rPr>
          <w:fldChar w:fldCharType="end"/>
        </w:r>
      </w:hyperlink>
    </w:p>
    <w:p w14:paraId="09C0F2A1" w14:textId="77777777" w:rsidR="00E83B75" w:rsidRDefault="00E83B75">
      <w:pPr>
        <w:pStyle w:val="TOC2"/>
        <w:tabs>
          <w:tab w:val="left" w:pos="1200"/>
        </w:tabs>
        <w:rPr>
          <w:rFonts w:eastAsiaTheme="minorEastAsia"/>
          <w:b w:val="0"/>
          <w:bCs w:val="0"/>
          <w:color w:val="auto"/>
          <w:szCs w:val="24"/>
          <w:lang w:val="en-US" w:eastAsia="en-US"/>
        </w:rPr>
      </w:pPr>
      <w:hyperlink w:anchor="_Toc457162653" w:history="1">
        <w:r w:rsidRPr="00D9691A">
          <w:rPr>
            <w:rStyle w:val="Hyperlink"/>
            <w14:scene3d>
              <w14:camera w14:prst="orthographicFront"/>
              <w14:lightRig w14:rig="threePt" w14:dir="t">
                <w14:rot w14:lat="0" w14:lon="0" w14:rev="0"/>
              </w14:lightRig>
            </w14:scene3d>
          </w:rPr>
          <w:t>Figure 5.</w:t>
        </w:r>
        <w:r>
          <w:rPr>
            <w:rFonts w:eastAsiaTheme="minorEastAsia"/>
            <w:b w:val="0"/>
            <w:bCs w:val="0"/>
            <w:color w:val="auto"/>
            <w:szCs w:val="24"/>
            <w:lang w:val="en-US" w:eastAsia="en-US"/>
          </w:rPr>
          <w:tab/>
        </w:r>
        <w:r w:rsidRPr="00D9691A">
          <w:rPr>
            <w:rStyle w:val="Hyperlink"/>
          </w:rPr>
          <w:t>Aspirational Targets for Open Budget Index</w:t>
        </w:r>
        <w:r>
          <w:rPr>
            <w:webHidden/>
          </w:rPr>
          <w:tab/>
        </w:r>
        <w:r>
          <w:rPr>
            <w:webHidden/>
          </w:rPr>
          <w:fldChar w:fldCharType="begin"/>
        </w:r>
        <w:r>
          <w:rPr>
            <w:webHidden/>
          </w:rPr>
          <w:instrText xml:space="preserve"> PAGEREF _Toc457162653 \h </w:instrText>
        </w:r>
        <w:r>
          <w:rPr>
            <w:webHidden/>
          </w:rPr>
        </w:r>
        <w:r>
          <w:rPr>
            <w:webHidden/>
          </w:rPr>
          <w:fldChar w:fldCharType="separate"/>
        </w:r>
        <w:r w:rsidR="00004C5E">
          <w:rPr>
            <w:webHidden/>
          </w:rPr>
          <w:t>22</w:t>
        </w:r>
        <w:r>
          <w:rPr>
            <w:webHidden/>
          </w:rPr>
          <w:fldChar w:fldCharType="end"/>
        </w:r>
      </w:hyperlink>
    </w:p>
    <w:p w14:paraId="4A28BF76" w14:textId="77777777" w:rsidR="00E83B75" w:rsidRDefault="00E83B75">
      <w:pPr>
        <w:pStyle w:val="TOC2"/>
        <w:tabs>
          <w:tab w:val="left" w:pos="1200"/>
        </w:tabs>
        <w:rPr>
          <w:rFonts w:eastAsiaTheme="minorEastAsia"/>
          <w:b w:val="0"/>
          <w:bCs w:val="0"/>
          <w:color w:val="auto"/>
          <w:szCs w:val="24"/>
          <w:lang w:val="en-US" w:eastAsia="en-US"/>
        </w:rPr>
      </w:pPr>
      <w:hyperlink w:anchor="_Toc457162654" w:history="1">
        <w:r w:rsidRPr="00D9691A">
          <w:rPr>
            <w:rStyle w:val="Hyperlink"/>
            <w14:scene3d>
              <w14:camera w14:prst="orthographicFront"/>
              <w14:lightRig w14:rig="threePt" w14:dir="t">
                <w14:rot w14:lat="0" w14:lon="0" w14:rev="0"/>
              </w14:lightRig>
            </w14:scene3d>
          </w:rPr>
          <w:t>Figure 6.</w:t>
        </w:r>
        <w:r>
          <w:rPr>
            <w:rFonts w:eastAsiaTheme="minorEastAsia"/>
            <w:b w:val="0"/>
            <w:bCs w:val="0"/>
            <w:color w:val="auto"/>
            <w:szCs w:val="24"/>
            <w:lang w:val="en-US" w:eastAsia="en-US"/>
          </w:rPr>
          <w:tab/>
        </w:r>
        <w:r w:rsidRPr="00D9691A">
          <w:rPr>
            <w:rStyle w:val="Hyperlink"/>
          </w:rPr>
          <w:t>Aspirational Targets for Statistical Capacities</w:t>
        </w:r>
        <w:r>
          <w:rPr>
            <w:webHidden/>
          </w:rPr>
          <w:tab/>
        </w:r>
        <w:r>
          <w:rPr>
            <w:webHidden/>
          </w:rPr>
          <w:fldChar w:fldCharType="begin"/>
        </w:r>
        <w:r>
          <w:rPr>
            <w:webHidden/>
          </w:rPr>
          <w:instrText xml:space="preserve"> PAGEREF _Toc457162654 \h </w:instrText>
        </w:r>
        <w:r>
          <w:rPr>
            <w:webHidden/>
          </w:rPr>
        </w:r>
        <w:r>
          <w:rPr>
            <w:webHidden/>
          </w:rPr>
          <w:fldChar w:fldCharType="separate"/>
        </w:r>
        <w:r w:rsidR="00004C5E">
          <w:rPr>
            <w:webHidden/>
          </w:rPr>
          <w:t>23</w:t>
        </w:r>
        <w:r>
          <w:rPr>
            <w:webHidden/>
          </w:rPr>
          <w:fldChar w:fldCharType="end"/>
        </w:r>
      </w:hyperlink>
    </w:p>
    <w:p w14:paraId="1845FBD2" w14:textId="77777777" w:rsidR="00E83B75" w:rsidRDefault="00E83B75">
      <w:pPr>
        <w:pStyle w:val="TOC2"/>
        <w:tabs>
          <w:tab w:val="left" w:pos="1200"/>
        </w:tabs>
        <w:rPr>
          <w:rFonts w:eastAsiaTheme="minorEastAsia"/>
          <w:b w:val="0"/>
          <w:bCs w:val="0"/>
          <w:color w:val="auto"/>
          <w:szCs w:val="24"/>
          <w:lang w:val="en-US" w:eastAsia="en-US"/>
        </w:rPr>
      </w:pPr>
      <w:hyperlink w:anchor="_Toc457162655" w:history="1">
        <w:r w:rsidRPr="00D9691A">
          <w:rPr>
            <w:rStyle w:val="Hyperlink"/>
            <w14:scene3d>
              <w14:camera w14:prst="orthographicFront"/>
              <w14:lightRig w14:rig="threePt" w14:dir="t">
                <w14:rot w14:lat="0" w14:lon="0" w14:rev="0"/>
              </w14:lightRig>
            </w14:scene3d>
          </w:rPr>
          <w:t>Figure 7.</w:t>
        </w:r>
        <w:r>
          <w:rPr>
            <w:rFonts w:eastAsiaTheme="minorEastAsia"/>
            <w:b w:val="0"/>
            <w:bCs w:val="0"/>
            <w:color w:val="auto"/>
            <w:szCs w:val="24"/>
            <w:lang w:val="en-US" w:eastAsia="en-US"/>
          </w:rPr>
          <w:tab/>
        </w:r>
        <w:r w:rsidRPr="00D9691A">
          <w:rPr>
            <w:rStyle w:val="Hyperlink"/>
          </w:rPr>
          <w:t>Doing Business: Proposed Aspirational Ranks (100 Best)</w:t>
        </w:r>
        <w:r>
          <w:rPr>
            <w:webHidden/>
          </w:rPr>
          <w:tab/>
        </w:r>
        <w:r>
          <w:rPr>
            <w:webHidden/>
          </w:rPr>
          <w:fldChar w:fldCharType="begin"/>
        </w:r>
        <w:r>
          <w:rPr>
            <w:webHidden/>
          </w:rPr>
          <w:instrText xml:space="preserve"> PAGEREF _Toc457162655 \h </w:instrText>
        </w:r>
        <w:r>
          <w:rPr>
            <w:webHidden/>
          </w:rPr>
        </w:r>
        <w:r>
          <w:rPr>
            <w:webHidden/>
          </w:rPr>
          <w:fldChar w:fldCharType="separate"/>
        </w:r>
        <w:r w:rsidR="00004C5E">
          <w:rPr>
            <w:webHidden/>
          </w:rPr>
          <w:t>23</w:t>
        </w:r>
        <w:r>
          <w:rPr>
            <w:webHidden/>
          </w:rPr>
          <w:fldChar w:fldCharType="end"/>
        </w:r>
      </w:hyperlink>
    </w:p>
    <w:p w14:paraId="4FDA549F" w14:textId="77777777" w:rsidR="00E83B75" w:rsidRDefault="00E83B75">
      <w:pPr>
        <w:pStyle w:val="TOC2"/>
        <w:tabs>
          <w:tab w:val="left" w:pos="1200"/>
        </w:tabs>
        <w:rPr>
          <w:rFonts w:eastAsiaTheme="minorEastAsia"/>
          <w:b w:val="0"/>
          <w:bCs w:val="0"/>
          <w:color w:val="auto"/>
          <w:szCs w:val="24"/>
          <w:lang w:val="en-US" w:eastAsia="en-US"/>
        </w:rPr>
      </w:pPr>
      <w:hyperlink w:anchor="_Toc457162656" w:history="1">
        <w:r w:rsidRPr="00D9691A">
          <w:rPr>
            <w:rStyle w:val="Hyperlink"/>
            <w14:scene3d>
              <w14:camera w14:prst="orthographicFront"/>
              <w14:lightRig w14:rig="threePt" w14:dir="t">
                <w14:rot w14:lat="0" w14:lon="0" w14:rev="0"/>
              </w14:lightRig>
            </w14:scene3d>
          </w:rPr>
          <w:t>Figure 8.</w:t>
        </w:r>
        <w:r>
          <w:rPr>
            <w:rFonts w:eastAsiaTheme="minorEastAsia"/>
            <w:b w:val="0"/>
            <w:bCs w:val="0"/>
            <w:color w:val="auto"/>
            <w:szCs w:val="24"/>
            <w:lang w:val="en-US" w:eastAsia="en-US"/>
          </w:rPr>
          <w:tab/>
        </w:r>
        <w:r w:rsidRPr="00D9691A">
          <w:rPr>
            <w:rStyle w:val="Hyperlink"/>
          </w:rPr>
          <w:t>Trends in Tax Collection – Selected Comparators</w:t>
        </w:r>
        <w:r>
          <w:rPr>
            <w:webHidden/>
          </w:rPr>
          <w:tab/>
        </w:r>
        <w:r>
          <w:rPr>
            <w:webHidden/>
          </w:rPr>
          <w:fldChar w:fldCharType="begin"/>
        </w:r>
        <w:r>
          <w:rPr>
            <w:webHidden/>
          </w:rPr>
          <w:instrText xml:space="preserve"> PAGEREF _Toc457162656 \h </w:instrText>
        </w:r>
        <w:r>
          <w:rPr>
            <w:webHidden/>
          </w:rPr>
        </w:r>
        <w:r>
          <w:rPr>
            <w:webHidden/>
          </w:rPr>
          <w:fldChar w:fldCharType="separate"/>
        </w:r>
        <w:r w:rsidR="00004C5E">
          <w:rPr>
            <w:webHidden/>
          </w:rPr>
          <w:t>24</w:t>
        </w:r>
        <w:r>
          <w:rPr>
            <w:webHidden/>
          </w:rPr>
          <w:fldChar w:fldCharType="end"/>
        </w:r>
      </w:hyperlink>
    </w:p>
    <w:p w14:paraId="05ED2D7C" w14:textId="77777777" w:rsidR="00E83B75" w:rsidRDefault="00E83B75">
      <w:pPr>
        <w:pStyle w:val="TOC2"/>
        <w:tabs>
          <w:tab w:val="left" w:pos="1200"/>
        </w:tabs>
        <w:rPr>
          <w:rFonts w:eastAsiaTheme="minorEastAsia"/>
          <w:b w:val="0"/>
          <w:bCs w:val="0"/>
          <w:color w:val="auto"/>
          <w:szCs w:val="24"/>
          <w:lang w:val="en-US" w:eastAsia="en-US"/>
        </w:rPr>
      </w:pPr>
      <w:hyperlink w:anchor="_Toc457162657" w:history="1">
        <w:r w:rsidRPr="00D9691A">
          <w:rPr>
            <w:rStyle w:val="Hyperlink"/>
            <w14:scene3d>
              <w14:camera w14:prst="orthographicFront"/>
              <w14:lightRig w14:rig="threePt" w14:dir="t">
                <w14:rot w14:lat="0" w14:lon="0" w14:rev="0"/>
              </w14:lightRig>
            </w14:scene3d>
          </w:rPr>
          <w:t>Figure 9.</w:t>
        </w:r>
        <w:r>
          <w:rPr>
            <w:rFonts w:eastAsiaTheme="minorEastAsia"/>
            <w:b w:val="0"/>
            <w:bCs w:val="0"/>
            <w:color w:val="auto"/>
            <w:szCs w:val="24"/>
            <w:lang w:val="en-US" w:eastAsia="en-US"/>
          </w:rPr>
          <w:tab/>
        </w:r>
        <w:r w:rsidRPr="00D9691A">
          <w:rPr>
            <w:rStyle w:val="Hyperlink"/>
          </w:rPr>
          <w:t>Budget and Treasury: Solving Systemic Problems</w:t>
        </w:r>
        <w:r>
          <w:rPr>
            <w:webHidden/>
          </w:rPr>
          <w:tab/>
        </w:r>
        <w:r>
          <w:rPr>
            <w:webHidden/>
          </w:rPr>
          <w:fldChar w:fldCharType="begin"/>
        </w:r>
        <w:r>
          <w:rPr>
            <w:webHidden/>
          </w:rPr>
          <w:instrText xml:space="preserve"> PAGEREF _Toc457162657 \h </w:instrText>
        </w:r>
        <w:r>
          <w:rPr>
            <w:webHidden/>
          </w:rPr>
        </w:r>
        <w:r>
          <w:rPr>
            <w:webHidden/>
          </w:rPr>
          <w:fldChar w:fldCharType="separate"/>
        </w:r>
        <w:r w:rsidR="00004C5E">
          <w:rPr>
            <w:webHidden/>
          </w:rPr>
          <w:t>27</w:t>
        </w:r>
        <w:r>
          <w:rPr>
            <w:webHidden/>
          </w:rPr>
          <w:fldChar w:fldCharType="end"/>
        </w:r>
      </w:hyperlink>
    </w:p>
    <w:p w14:paraId="76F699BA" w14:textId="77777777" w:rsidR="00E83B75" w:rsidRDefault="00E83B75">
      <w:pPr>
        <w:pStyle w:val="TOC2"/>
        <w:tabs>
          <w:tab w:val="left" w:pos="1440"/>
        </w:tabs>
        <w:rPr>
          <w:rFonts w:eastAsiaTheme="minorEastAsia"/>
          <w:b w:val="0"/>
          <w:bCs w:val="0"/>
          <w:color w:val="auto"/>
          <w:szCs w:val="24"/>
          <w:lang w:val="en-US" w:eastAsia="en-US"/>
        </w:rPr>
      </w:pPr>
      <w:hyperlink w:anchor="_Toc457162658" w:history="1">
        <w:r w:rsidRPr="00D9691A">
          <w:rPr>
            <w:rStyle w:val="Hyperlink"/>
            <w14:scene3d>
              <w14:camera w14:prst="orthographicFront"/>
              <w14:lightRig w14:rig="threePt" w14:dir="t">
                <w14:rot w14:lat="0" w14:lon="0" w14:rev="0"/>
              </w14:lightRig>
            </w14:scene3d>
          </w:rPr>
          <w:t>Figure 10.</w:t>
        </w:r>
        <w:r>
          <w:rPr>
            <w:rFonts w:eastAsiaTheme="minorEastAsia"/>
            <w:b w:val="0"/>
            <w:bCs w:val="0"/>
            <w:color w:val="auto"/>
            <w:szCs w:val="24"/>
            <w:lang w:val="en-US" w:eastAsia="en-US"/>
          </w:rPr>
          <w:tab/>
        </w:r>
        <w:r w:rsidRPr="00D9691A">
          <w:rPr>
            <w:rStyle w:val="Hyperlink"/>
          </w:rPr>
          <w:t>Risk-Return (performance and TA) Space</w:t>
        </w:r>
        <w:r>
          <w:rPr>
            <w:webHidden/>
          </w:rPr>
          <w:tab/>
        </w:r>
        <w:r>
          <w:rPr>
            <w:webHidden/>
          </w:rPr>
          <w:fldChar w:fldCharType="begin"/>
        </w:r>
        <w:r>
          <w:rPr>
            <w:webHidden/>
          </w:rPr>
          <w:instrText xml:space="preserve"> PAGEREF _Toc457162658 \h </w:instrText>
        </w:r>
        <w:r>
          <w:rPr>
            <w:webHidden/>
          </w:rPr>
        </w:r>
        <w:r>
          <w:rPr>
            <w:webHidden/>
          </w:rPr>
          <w:fldChar w:fldCharType="separate"/>
        </w:r>
        <w:r w:rsidR="00004C5E">
          <w:rPr>
            <w:webHidden/>
          </w:rPr>
          <w:t>29</w:t>
        </w:r>
        <w:r>
          <w:rPr>
            <w:webHidden/>
          </w:rPr>
          <w:fldChar w:fldCharType="end"/>
        </w:r>
      </w:hyperlink>
    </w:p>
    <w:p w14:paraId="6D7470CD" w14:textId="77777777" w:rsidR="00E83B75" w:rsidRDefault="00E83B75">
      <w:pPr>
        <w:pStyle w:val="TOC2"/>
        <w:tabs>
          <w:tab w:val="left" w:pos="1440"/>
        </w:tabs>
        <w:rPr>
          <w:rFonts w:eastAsiaTheme="minorEastAsia"/>
          <w:b w:val="0"/>
          <w:bCs w:val="0"/>
          <w:color w:val="auto"/>
          <w:szCs w:val="24"/>
          <w:lang w:val="en-US" w:eastAsia="en-US"/>
        </w:rPr>
      </w:pPr>
      <w:hyperlink w:anchor="_Toc457162659" w:history="1">
        <w:r w:rsidRPr="00D9691A">
          <w:rPr>
            <w:rStyle w:val="Hyperlink"/>
            <w14:scene3d>
              <w14:camera w14:prst="orthographicFront"/>
              <w14:lightRig w14:rig="threePt" w14:dir="t">
                <w14:rot w14:lat="0" w14:lon="0" w14:rev="0"/>
              </w14:lightRig>
            </w14:scene3d>
          </w:rPr>
          <w:t>Figure 11.</w:t>
        </w:r>
        <w:r>
          <w:rPr>
            <w:rFonts w:eastAsiaTheme="minorEastAsia"/>
            <w:b w:val="0"/>
            <w:bCs w:val="0"/>
            <w:color w:val="auto"/>
            <w:szCs w:val="24"/>
            <w:lang w:val="en-US" w:eastAsia="en-US"/>
          </w:rPr>
          <w:tab/>
        </w:r>
        <w:r w:rsidRPr="00D9691A">
          <w:rPr>
            <w:rStyle w:val="Hyperlink"/>
          </w:rPr>
          <w:t>Time Required and Coordination Requirements of Activities</w:t>
        </w:r>
        <w:r>
          <w:rPr>
            <w:webHidden/>
          </w:rPr>
          <w:tab/>
        </w:r>
        <w:r>
          <w:rPr>
            <w:webHidden/>
          </w:rPr>
          <w:fldChar w:fldCharType="begin"/>
        </w:r>
        <w:r>
          <w:rPr>
            <w:webHidden/>
          </w:rPr>
          <w:instrText xml:space="preserve"> PAGEREF _Toc457162659 \h </w:instrText>
        </w:r>
        <w:r>
          <w:rPr>
            <w:webHidden/>
          </w:rPr>
        </w:r>
        <w:r>
          <w:rPr>
            <w:webHidden/>
          </w:rPr>
          <w:fldChar w:fldCharType="separate"/>
        </w:r>
        <w:r w:rsidR="00004C5E">
          <w:rPr>
            <w:webHidden/>
          </w:rPr>
          <w:t>30</w:t>
        </w:r>
        <w:r>
          <w:rPr>
            <w:webHidden/>
          </w:rPr>
          <w:fldChar w:fldCharType="end"/>
        </w:r>
      </w:hyperlink>
    </w:p>
    <w:p w14:paraId="2718489C" w14:textId="77777777" w:rsidR="00E83B75" w:rsidRDefault="00E83B75">
      <w:pPr>
        <w:pStyle w:val="TOC2"/>
        <w:tabs>
          <w:tab w:val="left" w:pos="1440"/>
        </w:tabs>
        <w:rPr>
          <w:rFonts w:eastAsiaTheme="minorEastAsia"/>
          <w:b w:val="0"/>
          <w:bCs w:val="0"/>
          <w:color w:val="auto"/>
          <w:szCs w:val="24"/>
          <w:lang w:val="en-US" w:eastAsia="en-US"/>
        </w:rPr>
      </w:pPr>
      <w:hyperlink w:anchor="_Toc457162660" w:history="1">
        <w:r w:rsidRPr="00D9691A">
          <w:rPr>
            <w:rStyle w:val="Hyperlink"/>
            <w14:scene3d>
              <w14:camera w14:prst="orthographicFront"/>
              <w14:lightRig w14:rig="threePt" w14:dir="t">
                <w14:rot w14:lat="0" w14:lon="0" w14:rev="0"/>
              </w14:lightRig>
            </w14:scene3d>
          </w:rPr>
          <w:t>Figure 12.</w:t>
        </w:r>
        <w:r>
          <w:rPr>
            <w:rFonts w:eastAsiaTheme="minorEastAsia"/>
            <w:b w:val="0"/>
            <w:bCs w:val="0"/>
            <w:color w:val="auto"/>
            <w:szCs w:val="24"/>
            <w:lang w:val="en-US" w:eastAsia="en-US"/>
          </w:rPr>
          <w:tab/>
        </w:r>
        <w:r w:rsidRPr="00D9691A">
          <w:rPr>
            <w:rStyle w:val="Hyperlink"/>
          </w:rPr>
          <w:t>Risk-Return (&amp; TA) Space Selected PFM Reform Driving Teams</w:t>
        </w:r>
        <w:r>
          <w:rPr>
            <w:webHidden/>
          </w:rPr>
          <w:tab/>
        </w:r>
        <w:r>
          <w:rPr>
            <w:webHidden/>
          </w:rPr>
          <w:fldChar w:fldCharType="begin"/>
        </w:r>
        <w:r>
          <w:rPr>
            <w:webHidden/>
          </w:rPr>
          <w:instrText xml:space="preserve"> PAGEREF _Toc457162660 \h </w:instrText>
        </w:r>
        <w:r>
          <w:rPr>
            <w:webHidden/>
          </w:rPr>
        </w:r>
        <w:r>
          <w:rPr>
            <w:webHidden/>
          </w:rPr>
          <w:fldChar w:fldCharType="separate"/>
        </w:r>
        <w:r w:rsidR="00004C5E">
          <w:rPr>
            <w:webHidden/>
          </w:rPr>
          <w:t>31</w:t>
        </w:r>
        <w:r>
          <w:rPr>
            <w:webHidden/>
          </w:rPr>
          <w:fldChar w:fldCharType="end"/>
        </w:r>
      </w:hyperlink>
    </w:p>
    <w:p w14:paraId="69A63DF2" w14:textId="77777777" w:rsidR="00E83B75" w:rsidRDefault="00E83B75">
      <w:pPr>
        <w:pStyle w:val="TOC2"/>
        <w:tabs>
          <w:tab w:val="left" w:pos="1440"/>
        </w:tabs>
        <w:rPr>
          <w:rFonts w:eastAsiaTheme="minorEastAsia"/>
          <w:b w:val="0"/>
          <w:bCs w:val="0"/>
          <w:color w:val="auto"/>
          <w:szCs w:val="24"/>
          <w:lang w:val="en-US" w:eastAsia="en-US"/>
        </w:rPr>
      </w:pPr>
      <w:hyperlink w:anchor="_Toc457162661" w:history="1">
        <w:r w:rsidRPr="00D9691A">
          <w:rPr>
            <w:rStyle w:val="Hyperlink"/>
            <w14:scene3d>
              <w14:camera w14:prst="orthographicFront"/>
              <w14:lightRig w14:rig="threePt" w14:dir="t">
                <w14:rot w14:lat="0" w14:lon="0" w14:rev="0"/>
              </w14:lightRig>
            </w14:scene3d>
          </w:rPr>
          <w:t>Figure 13.</w:t>
        </w:r>
        <w:r>
          <w:rPr>
            <w:rFonts w:eastAsiaTheme="minorEastAsia"/>
            <w:b w:val="0"/>
            <w:bCs w:val="0"/>
            <w:color w:val="auto"/>
            <w:szCs w:val="24"/>
            <w:lang w:val="en-US" w:eastAsia="en-US"/>
          </w:rPr>
          <w:tab/>
        </w:r>
        <w:r w:rsidRPr="00D9691A">
          <w:rPr>
            <w:rStyle w:val="Hyperlink"/>
          </w:rPr>
          <w:t>Revenue Generating Agencies: Risk-Return Space</w:t>
        </w:r>
        <w:r>
          <w:rPr>
            <w:webHidden/>
          </w:rPr>
          <w:tab/>
        </w:r>
        <w:r>
          <w:rPr>
            <w:webHidden/>
          </w:rPr>
          <w:fldChar w:fldCharType="begin"/>
        </w:r>
        <w:r>
          <w:rPr>
            <w:webHidden/>
          </w:rPr>
          <w:instrText xml:space="preserve"> PAGEREF _Toc457162661 \h </w:instrText>
        </w:r>
        <w:r>
          <w:rPr>
            <w:webHidden/>
          </w:rPr>
        </w:r>
        <w:r>
          <w:rPr>
            <w:webHidden/>
          </w:rPr>
          <w:fldChar w:fldCharType="separate"/>
        </w:r>
        <w:r w:rsidR="00004C5E">
          <w:rPr>
            <w:webHidden/>
          </w:rPr>
          <w:t>32</w:t>
        </w:r>
        <w:r>
          <w:rPr>
            <w:webHidden/>
          </w:rPr>
          <w:fldChar w:fldCharType="end"/>
        </w:r>
      </w:hyperlink>
    </w:p>
    <w:p w14:paraId="29A34C60" w14:textId="77777777" w:rsidR="00E83B75" w:rsidRDefault="00E83B75">
      <w:pPr>
        <w:pStyle w:val="TOC2"/>
        <w:tabs>
          <w:tab w:val="left" w:pos="1440"/>
        </w:tabs>
        <w:rPr>
          <w:rFonts w:eastAsiaTheme="minorEastAsia"/>
          <w:b w:val="0"/>
          <w:bCs w:val="0"/>
          <w:color w:val="auto"/>
          <w:szCs w:val="24"/>
          <w:lang w:val="en-US" w:eastAsia="en-US"/>
        </w:rPr>
      </w:pPr>
      <w:hyperlink w:anchor="_Toc457162662" w:history="1">
        <w:r w:rsidRPr="00D9691A">
          <w:rPr>
            <w:rStyle w:val="Hyperlink"/>
            <w14:scene3d>
              <w14:camera w14:prst="orthographicFront"/>
              <w14:lightRig w14:rig="threePt" w14:dir="t">
                <w14:rot w14:lat="0" w14:lon="0" w14:rev="0"/>
              </w14:lightRig>
            </w14:scene3d>
          </w:rPr>
          <w:t>Figure 14.</w:t>
        </w:r>
        <w:r>
          <w:rPr>
            <w:rFonts w:eastAsiaTheme="minorEastAsia"/>
            <w:b w:val="0"/>
            <w:bCs w:val="0"/>
            <w:color w:val="auto"/>
            <w:szCs w:val="24"/>
            <w:lang w:val="en-US" w:eastAsia="en-US"/>
          </w:rPr>
          <w:tab/>
        </w:r>
        <w:r w:rsidRPr="00D9691A">
          <w:rPr>
            <w:rStyle w:val="Hyperlink"/>
          </w:rPr>
          <w:t>Admin and Finance: Risk-Return (performance and TA) Space</w:t>
        </w:r>
        <w:r>
          <w:rPr>
            <w:webHidden/>
          </w:rPr>
          <w:tab/>
        </w:r>
        <w:r>
          <w:rPr>
            <w:webHidden/>
          </w:rPr>
          <w:fldChar w:fldCharType="begin"/>
        </w:r>
        <w:r>
          <w:rPr>
            <w:webHidden/>
          </w:rPr>
          <w:instrText xml:space="preserve"> PAGEREF _Toc457162662 \h </w:instrText>
        </w:r>
        <w:r>
          <w:rPr>
            <w:webHidden/>
          </w:rPr>
        </w:r>
        <w:r>
          <w:rPr>
            <w:webHidden/>
          </w:rPr>
          <w:fldChar w:fldCharType="separate"/>
        </w:r>
        <w:r w:rsidR="00004C5E">
          <w:rPr>
            <w:webHidden/>
          </w:rPr>
          <w:t>32</w:t>
        </w:r>
        <w:r>
          <w:rPr>
            <w:webHidden/>
          </w:rPr>
          <w:fldChar w:fldCharType="end"/>
        </w:r>
      </w:hyperlink>
    </w:p>
    <w:p w14:paraId="78B5C215" w14:textId="77777777" w:rsidR="00E83B75" w:rsidRDefault="00E83B75">
      <w:pPr>
        <w:pStyle w:val="TOC2"/>
        <w:tabs>
          <w:tab w:val="left" w:pos="1440"/>
        </w:tabs>
        <w:rPr>
          <w:rFonts w:eastAsiaTheme="minorEastAsia"/>
          <w:b w:val="0"/>
          <w:bCs w:val="0"/>
          <w:color w:val="auto"/>
          <w:szCs w:val="24"/>
          <w:lang w:val="en-US" w:eastAsia="en-US"/>
        </w:rPr>
      </w:pPr>
      <w:hyperlink w:anchor="_Toc457162663" w:history="1">
        <w:r w:rsidRPr="00D9691A">
          <w:rPr>
            <w:rStyle w:val="Hyperlink"/>
            <w14:scene3d>
              <w14:camera w14:prst="orthographicFront"/>
              <w14:lightRig w14:rig="threePt" w14:dir="t">
                <w14:rot w14:lat="0" w14:lon="0" w14:rev="0"/>
              </w14:lightRig>
            </w14:scene3d>
          </w:rPr>
          <w:t>Figure 15.</w:t>
        </w:r>
        <w:r>
          <w:rPr>
            <w:rFonts w:eastAsiaTheme="minorEastAsia"/>
            <w:b w:val="0"/>
            <w:bCs w:val="0"/>
            <w:color w:val="auto"/>
            <w:szCs w:val="24"/>
            <w:lang w:val="en-US" w:eastAsia="en-US"/>
          </w:rPr>
          <w:tab/>
        </w:r>
        <w:r w:rsidRPr="00D9691A">
          <w:rPr>
            <w:rStyle w:val="Hyperlink"/>
          </w:rPr>
          <w:t>Fiscal Performance Improvement Costs (Shares &amp; US$)</w:t>
        </w:r>
        <w:r>
          <w:rPr>
            <w:webHidden/>
          </w:rPr>
          <w:tab/>
        </w:r>
        <w:r>
          <w:rPr>
            <w:webHidden/>
          </w:rPr>
          <w:fldChar w:fldCharType="begin"/>
        </w:r>
        <w:r>
          <w:rPr>
            <w:webHidden/>
          </w:rPr>
          <w:instrText xml:space="preserve"> PAGEREF _Toc457162663 \h </w:instrText>
        </w:r>
        <w:r>
          <w:rPr>
            <w:webHidden/>
          </w:rPr>
        </w:r>
        <w:r>
          <w:rPr>
            <w:webHidden/>
          </w:rPr>
          <w:fldChar w:fldCharType="separate"/>
        </w:r>
        <w:r w:rsidR="00004C5E">
          <w:rPr>
            <w:webHidden/>
          </w:rPr>
          <w:t>35</w:t>
        </w:r>
        <w:r>
          <w:rPr>
            <w:webHidden/>
          </w:rPr>
          <w:fldChar w:fldCharType="end"/>
        </w:r>
      </w:hyperlink>
    </w:p>
    <w:p w14:paraId="24FDDBD0" w14:textId="170A9BCE" w:rsidR="0023087D" w:rsidRPr="00BA5328" w:rsidRDefault="0023087D" w:rsidP="0023087D">
      <w:pPr>
        <w:spacing w:after="200" w:line="312" w:lineRule="auto"/>
        <w:rPr>
          <w:sz w:val="22"/>
          <w:lang w:val="en-GB"/>
        </w:rPr>
      </w:pPr>
      <w:r w:rsidRPr="001E0B57">
        <w:rPr>
          <w:rFonts w:asciiTheme="minorHAnsi" w:hAnsiTheme="minorHAnsi" w:cstheme="minorBidi"/>
          <w:bCs/>
          <w:noProof/>
          <w:color w:val="5F5F5F" w:themeColor="text2" w:themeTint="BF"/>
          <w:sz w:val="20"/>
          <w:szCs w:val="20"/>
          <w:lang w:val="en-GB" w:eastAsia="ja-JP"/>
        </w:rPr>
        <w:fldChar w:fldCharType="end"/>
      </w:r>
    </w:p>
    <w:p w14:paraId="478CB475" w14:textId="49F55CA6" w:rsidR="002F05B1" w:rsidRPr="00BA5328" w:rsidRDefault="002F05B1" w:rsidP="002F05B1">
      <w:pPr>
        <w:pStyle w:val="TOCHeading"/>
        <w:spacing w:after="360"/>
        <w:rPr>
          <w:sz w:val="32"/>
        </w:rPr>
      </w:pPr>
      <w:r w:rsidRPr="00BA5328">
        <w:rPr>
          <w:rStyle w:val="Emphasis"/>
          <w:sz w:val="44"/>
        </w:rPr>
        <w:t>bOXES</w:t>
      </w:r>
    </w:p>
    <w:p w14:paraId="24CFB69A" w14:textId="77777777" w:rsidR="00E83B75" w:rsidRDefault="002F05B1">
      <w:pPr>
        <w:pStyle w:val="TOC2"/>
        <w:tabs>
          <w:tab w:val="left" w:pos="960"/>
        </w:tabs>
        <w:rPr>
          <w:rFonts w:eastAsiaTheme="minorEastAsia"/>
          <w:b w:val="0"/>
          <w:bCs w:val="0"/>
          <w:color w:val="auto"/>
          <w:szCs w:val="24"/>
          <w:lang w:val="en-US" w:eastAsia="en-US"/>
        </w:rPr>
      </w:pPr>
      <w:r w:rsidRPr="001E0B57">
        <w:rPr>
          <w:b w:val="0"/>
          <w:sz w:val="20"/>
        </w:rPr>
        <w:fldChar w:fldCharType="begin"/>
      </w:r>
      <w:r w:rsidRPr="001E0B57">
        <w:rPr>
          <w:sz w:val="20"/>
        </w:rPr>
        <w:instrText xml:space="preserve"> TOC \h \z \t "Box header,2" </w:instrText>
      </w:r>
      <w:r w:rsidRPr="001E0B57">
        <w:rPr>
          <w:b w:val="0"/>
          <w:sz w:val="20"/>
        </w:rPr>
        <w:fldChar w:fldCharType="separate"/>
      </w:r>
      <w:hyperlink w:anchor="_Toc457162664" w:history="1">
        <w:r w:rsidR="00E83B75" w:rsidRPr="006C0C3F">
          <w:rPr>
            <w:rStyle w:val="Hyperlink"/>
          </w:rPr>
          <w:t>Box 1.</w:t>
        </w:r>
        <w:r w:rsidR="00E83B75">
          <w:rPr>
            <w:rFonts w:eastAsiaTheme="minorEastAsia"/>
            <w:b w:val="0"/>
            <w:bCs w:val="0"/>
            <w:color w:val="auto"/>
            <w:szCs w:val="24"/>
            <w:lang w:val="en-US" w:eastAsia="en-US"/>
          </w:rPr>
          <w:tab/>
        </w:r>
        <w:r w:rsidR="00E83B75" w:rsidRPr="006C0C3F">
          <w:rPr>
            <w:rStyle w:val="Hyperlink"/>
          </w:rPr>
          <w:t>Why Team Based Performance Matters</w:t>
        </w:r>
        <w:r w:rsidR="00E83B75">
          <w:rPr>
            <w:webHidden/>
          </w:rPr>
          <w:tab/>
        </w:r>
        <w:r w:rsidR="00E83B75">
          <w:rPr>
            <w:webHidden/>
          </w:rPr>
          <w:fldChar w:fldCharType="begin"/>
        </w:r>
        <w:r w:rsidR="00E83B75">
          <w:rPr>
            <w:webHidden/>
          </w:rPr>
          <w:instrText xml:space="preserve"> PAGEREF _Toc457162664 \h </w:instrText>
        </w:r>
        <w:r w:rsidR="00E83B75">
          <w:rPr>
            <w:webHidden/>
          </w:rPr>
        </w:r>
        <w:r w:rsidR="00E83B75">
          <w:rPr>
            <w:webHidden/>
          </w:rPr>
          <w:fldChar w:fldCharType="separate"/>
        </w:r>
        <w:r w:rsidR="00004C5E">
          <w:rPr>
            <w:webHidden/>
          </w:rPr>
          <w:t>7</w:t>
        </w:r>
        <w:r w:rsidR="00E83B75">
          <w:rPr>
            <w:webHidden/>
          </w:rPr>
          <w:fldChar w:fldCharType="end"/>
        </w:r>
      </w:hyperlink>
    </w:p>
    <w:p w14:paraId="4F9CF47B" w14:textId="77777777" w:rsidR="00E83B75" w:rsidRDefault="00E83B75">
      <w:pPr>
        <w:pStyle w:val="TOC2"/>
        <w:tabs>
          <w:tab w:val="left" w:pos="960"/>
        </w:tabs>
        <w:rPr>
          <w:rFonts w:eastAsiaTheme="minorEastAsia"/>
          <w:b w:val="0"/>
          <w:bCs w:val="0"/>
          <w:color w:val="auto"/>
          <w:szCs w:val="24"/>
          <w:lang w:val="en-US" w:eastAsia="en-US"/>
        </w:rPr>
      </w:pPr>
      <w:hyperlink w:anchor="_Toc457162665" w:history="1">
        <w:r w:rsidRPr="006C0C3F">
          <w:rPr>
            <w:rStyle w:val="Hyperlink"/>
          </w:rPr>
          <w:t>Box 2.</w:t>
        </w:r>
        <w:r>
          <w:rPr>
            <w:rFonts w:eastAsiaTheme="minorEastAsia"/>
            <w:b w:val="0"/>
            <w:bCs w:val="0"/>
            <w:color w:val="auto"/>
            <w:szCs w:val="24"/>
            <w:lang w:val="en-US" w:eastAsia="en-US"/>
          </w:rPr>
          <w:tab/>
        </w:r>
        <w:r w:rsidRPr="006C0C3F">
          <w:rPr>
            <w:rStyle w:val="Hyperlink"/>
          </w:rPr>
          <w:t>The Seven Goals for Performance Management:</w:t>
        </w:r>
        <w:r>
          <w:rPr>
            <w:webHidden/>
          </w:rPr>
          <w:tab/>
        </w:r>
        <w:r>
          <w:rPr>
            <w:webHidden/>
          </w:rPr>
          <w:fldChar w:fldCharType="begin"/>
        </w:r>
        <w:r>
          <w:rPr>
            <w:webHidden/>
          </w:rPr>
          <w:instrText xml:space="preserve"> PAGEREF _Toc457162665 \h </w:instrText>
        </w:r>
        <w:r>
          <w:rPr>
            <w:webHidden/>
          </w:rPr>
        </w:r>
        <w:r>
          <w:rPr>
            <w:webHidden/>
          </w:rPr>
          <w:fldChar w:fldCharType="separate"/>
        </w:r>
        <w:r w:rsidR="00004C5E">
          <w:rPr>
            <w:webHidden/>
          </w:rPr>
          <w:t>8</w:t>
        </w:r>
        <w:r>
          <w:rPr>
            <w:webHidden/>
          </w:rPr>
          <w:fldChar w:fldCharType="end"/>
        </w:r>
      </w:hyperlink>
    </w:p>
    <w:p w14:paraId="535BF7E9" w14:textId="77777777" w:rsidR="00E83B75" w:rsidRDefault="00E83B75">
      <w:pPr>
        <w:pStyle w:val="TOC2"/>
        <w:tabs>
          <w:tab w:val="left" w:pos="960"/>
        </w:tabs>
        <w:rPr>
          <w:rFonts w:eastAsiaTheme="minorEastAsia"/>
          <w:b w:val="0"/>
          <w:bCs w:val="0"/>
          <w:color w:val="auto"/>
          <w:szCs w:val="24"/>
          <w:lang w:val="en-US" w:eastAsia="en-US"/>
        </w:rPr>
      </w:pPr>
      <w:hyperlink w:anchor="_Toc457162666" w:history="1">
        <w:r w:rsidRPr="006C0C3F">
          <w:rPr>
            <w:rStyle w:val="Hyperlink"/>
          </w:rPr>
          <w:t>Box 3.</w:t>
        </w:r>
        <w:r>
          <w:rPr>
            <w:rFonts w:eastAsiaTheme="minorEastAsia"/>
            <w:b w:val="0"/>
            <w:bCs w:val="0"/>
            <w:color w:val="auto"/>
            <w:szCs w:val="24"/>
            <w:lang w:val="en-US" w:eastAsia="en-US"/>
          </w:rPr>
          <w:tab/>
        </w:r>
        <w:r w:rsidRPr="006C0C3F">
          <w:rPr>
            <w:rStyle w:val="Hyperlink"/>
          </w:rPr>
          <w:t>Summary of Design Elements for the Budget Support Framework:</w:t>
        </w:r>
        <w:r>
          <w:rPr>
            <w:webHidden/>
          </w:rPr>
          <w:tab/>
        </w:r>
        <w:r>
          <w:rPr>
            <w:webHidden/>
          </w:rPr>
          <w:fldChar w:fldCharType="begin"/>
        </w:r>
        <w:r>
          <w:rPr>
            <w:webHidden/>
          </w:rPr>
          <w:instrText xml:space="preserve"> PAGEREF _Toc457162666 \h </w:instrText>
        </w:r>
        <w:r>
          <w:rPr>
            <w:webHidden/>
          </w:rPr>
        </w:r>
        <w:r>
          <w:rPr>
            <w:webHidden/>
          </w:rPr>
          <w:fldChar w:fldCharType="separate"/>
        </w:r>
        <w:r w:rsidR="00004C5E">
          <w:rPr>
            <w:webHidden/>
          </w:rPr>
          <w:t>63</w:t>
        </w:r>
        <w:r>
          <w:rPr>
            <w:webHidden/>
          </w:rPr>
          <w:fldChar w:fldCharType="end"/>
        </w:r>
      </w:hyperlink>
    </w:p>
    <w:p w14:paraId="6F58E787" w14:textId="77777777" w:rsidR="00004C5E" w:rsidRDefault="002F05B1" w:rsidP="00E9748A">
      <w:pPr>
        <w:rPr>
          <w:rFonts w:asciiTheme="minorHAnsi" w:hAnsiTheme="minorHAnsi" w:cstheme="minorBidi"/>
          <w:bCs/>
          <w:noProof/>
          <w:color w:val="5F5F5F" w:themeColor="text2" w:themeTint="BF"/>
          <w:sz w:val="20"/>
          <w:szCs w:val="20"/>
          <w:lang w:val="en-GB" w:eastAsia="ja-JP"/>
        </w:rPr>
      </w:pPr>
      <w:r w:rsidRPr="001E0B57">
        <w:rPr>
          <w:rFonts w:asciiTheme="minorHAnsi" w:hAnsiTheme="minorHAnsi" w:cstheme="minorBidi"/>
          <w:bCs/>
          <w:noProof/>
          <w:color w:val="5F5F5F" w:themeColor="text2" w:themeTint="BF"/>
          <w:sz w:val="20"/>
          <w:szCs w:val="20"/>
          <w:lang w:val="en-GB" w:eastAsia="ja-JP"/>
        </w:rPr>
        <w:fldChar w:fldCharType="end"/>
      </w:r>
    </w:p>
    <w:p w14:paraId="4D3A70F2" w14:textId="77777777" w:rsidR="00004C5E" w:rsidRDefault="00004C5E">
      <w:pPr>
        <w:spacing w:after="200" w:line="312" w:lineRule="auto"/>
        <w:rPr>
          <w:rFonts w:asciiTheme="minorHAnsi" w:hAnsiTheme="minorHAnsi" w:cstheme="minorBidi"/>
          <w:bCs/>
          <w:noProof/>
          <w:color w:val="5F5F5F" w:themeColor="text2" w:themeTint="BF"/>
          <w:sz w:val="20"/>
          <w:szCs w:val="20"/>
          <w:lang w:val="en-GB" w:eastAsia="ja-JP"/>
        </w:rPr>
      </w:pPr>
      <w:r>
        <w:rPr>
          <w:rFonts w:asciiTheme="minorHAnsi" w:hAnsiTheme="minorHAnsi" w:cstheme="minorBidi"/>
          <w:bCs/>
          <w:noProof/>
          <w:color w:val="5F5F5F" w:themeColor="text2" w:themeTint="BF"/>
          <w:sz w:val="20"/>
          <w:szCs w:val="20"/>
          <w:lang w:val="en-GB" w:eastAsia="ja-JP"/>
        </w:rPr>
        <w:br w:type="page"/>
      </w:r>
    </w:p>
    <w:p w14:paraId="186636A4" w14:textId="40B72605" w:rsidR="00F76C5B" w:rsidRPr="00E9748A" w:rsidRDefault="00E9748A" w:rsidP="00E9748A">
      <w:pPr>
        <w:rPr>
          <w:b/>
          <w:sz w:val="36"/>
          <w:szCs w:val="36"/>
          <w:lang w:val="en-GB"/>
        </w:rPr>
      </w:pPr>
      <w:r w:rsidRPr="00E9748A">
        <w:rPr>
          <w:b/>
          <w:sz w:val="36"/>
          <w:szCs w:val="36"/>
        </w:rPr>
        <w:lastRenderedPageBreak/>
        <w:t>ACRONYMS</w:t>
      </w:r>
    </w:p>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17"/>
      </w:tblGrid>
      <w:tr w:rsidR="00FA0C21" w:rsidRPr="003C21A5" w14:paraId="2EC40C6D" w14:textId="77777777" w:rsidTr="00374CC9">
        <w:tc>
          <w:tcPr>
            <w:tcW w:w="1560" w:type="dxa"/>
          </w:tcPr>
          <w:p w14:paraId="609BD55A"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AD</w:t>
            </w:r>
          </w:p>
        </w:tc>
        <w:tc>
          <w:tcPr>
            <w:tcW w:w="7217" w:type="dxa"/>
          </w:tcPr>
          <w:p w14:paraId="5554BC2E"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Admin Department</w:t>
            </w:r>
          </w:p>
        </w:tc>
      </w:tr>
      <w:tr w:rsidR="00FA0C21" w:rsidRPr="003C21A5" w14:paraId="08EA6D6D" w14:textId="77777777" w:rsidTr="00374CC9">
        <w:tc>
          <w:tcPr>
            <w:tcW w:w="1560" w:type="dxa"/>
          </w:tcPr>
          <w:p w14:paraId="321D71AA" w14:textId="77777777" w:rsidR="00FA0C21" w:rsidRPr="003C21A5" w:rsidRDefault="00FA0C21" w:rsidP="005B2ABE">
            <w:pPr>
              <w:rPr>
                <w:rFonts w:ascii="Calibri" w:hAnsi="Calibri"/>
                <w:sz w:val="22"/>
                <w:szCs w:val="18"/>
                <w:lang w:val="en-GB"/>
              </w:rPr>
            </w:pPr>
            <w:r w:rsidRPr="003C21A5">
              <w:rPr>
                <w:rFonts w:ascii="Calibri" w:hAnsi="Calibri"/>
                <w:sz w:val="22"/>
                <w:szCs w:val="18"/>
              </w:rPr>
              <w:t>AEITI</w:t>
            </w:r>
          </w:p>
        </w:tc>
        <w:tc>
          <w:tcPr>
            <w:tcW w:w="7217" w:type="dxa"/>
          </w:tcPr>
          <w:p w14:paraId="2E9E45D9" w14:textId="457FAE35" w:rsidR="00FA0C21" w:rsidRPr="003C21A5" w:rsidRDefault="00FA0C21" w:rsidP="005B2ABE">
            <w:pPr>
              <w:rPr>
                <w:rFonts w:ascii="Calibri" w:hAnsi="Calibri"/>
                <w:sz w:val="22"/>
                <w:szCs w:val="18"/>
                <w:lang w:val="en-GB"/>
              </w:rPr>
            </w:pPr>
            <w:r w:rsidRPr="003C21A5">
              <w:rPr>
                <w:rFonts w:ascii="Calibri" w:hAnsi="Calibri"/>
                <w:sz w:val="22"/>
                <w:szCs w:val="18"/>
              </w:rPr>
              <w:t>Afghanistan Extractives Transparency Initiative</w:t>
            </w:r>
          </w:p>
        </w:tc>
      </w:tr>
      <w:tr w:rsidR="00FA0C21" w:rsidRPr="003C21A5" w14:paraId="61D263E0" w14:textId="77777777" w:rsidTr="00374CC9">
        <w:tc>
          <w:tcPr>
            <w:tcW w:w="1560" w:type="dxa"/>
          </w:tcPr>
          <w:p w14:paraId="2474AF0A" w14:textId="77777777" w:rsidR="00FA0C21" w:rsidRPr="003C21A5" w:rsidRDefault="00FA0C21" w:rsidP="005B2ABE">
            <w:pPr>
              <w:rPr>
                <w:rFonts w:ascii="Calibri" w:hAnsi="Calibri"/>
                <w:sz w:val="22"/>
                <w:szCs w:val="18"/>
                <w:lang w:val="en-GB"/>
              </w:rPr>
            </w:pPr>
            <w:r w:rsidRPr="003C21A5">
              <w:rPr>
                <w:rFonts w:ascii="Calibri" w:hAnsi="Calibri"/>
                <w:sz w:val="22"/>
                <w:szCs w:val="18"/>
              </w:rPr>
              <w:t>AFMIS</w:t>
            </w:r>
          </w:p>
        </w:tc>
        <w:tc>
          <w:tcPr>
            <w:tcW w:w="7217" w:type="dxa"/>
          </w:tcPr>
          <w:p w14:paraId="2B6BCE34" w14:textId="77777777" w:rsidR="00FA0C21" w:rsidRPr="003C21A5" w:rsidRDefault="00FA0C21" w:rsidP="005B2ABE">
            <w:pPr>
              <w:rPr>
                <w:rFonts w:ascii="Calibri" w:hAnsi="Calibri"/>
                <w:sz w:val="22"/>
                <w:szCs w:val="18"/>
                <w:lang w:val="en-GB"/>
              </w:rPr>
            </w:pPr>
            <w:r w:rsidRPr="003C21A5">
              <w:rPr>
                <w:rFonts w:ascii="Calibri" w:hAnsi="Calibri"/>
                <w:sz w:val="22"/>
                <w:szCs w:val="18"/>
              </w:rPr>
              <w:t>Afghanistan Financial Management System</w:t>
            </w:r>
          </w:p>
        </w:tc>
      </w:tr>
      <w:tr w:rsidR="00FA0C21" w:rsidRPr="003C21A5" w14:paraId="2D612B69" w14:textId="77777777" w:rsidTr="00374CC9">
        <w:tc>
          <w:tcPr>
            <w:tcW w:w="1560" w:type="dxa"/>
          </w:tcPr>
          <w:p w14:paraId="5F4E710C"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AMD</w:t>
            </w:r>
          </w:p>
        </w:tc>
        <w:tc>
          <w:tcPr>
            <w:tcW w:w="7217" w:type="dxa"/>
          </w:tcPr>
          <w:p w14:paraId="5F53D00B"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Aid Management Directorate</w:t>
            </w:r>
          </w:p>
        </w:tc>
      </w:tr>
      <w:tr w:rsidR="00FA0C21" w:rsidRPr="003C21A5" w14:paraId="60870565" w14:textId="77777777" w:rsidTr="00374CC9">
        <w:tc>
          <w:tcPr>
            <w:tcW w:w="1560" w:type="dxa"/>
          </w:tcPr>
          <w:p w14:paraId="03CB26D3" w14:textId="77777777" w:rsidR="00FA0C21" w:rsidRPr="003C21A5" w:rsidRDefault="00FA0C21" w:rsidP="005B2ABE">
            <w:pPr>
              <w:rPr>
                <w:rFonts w:ascii="Calibri" w:hAnsi="Calibri"/>
                <w:sz w:val="22"/>
                <w:szCs w:val="18"/>
                <w:lang w:val="en-GB"/>
              </w:rPr>
            </w:pPr>
            <w:r w:rsidRPr="003C21A5">
              <w:rPr>
                <w:rFonts w:ascii="Calibri" w:hAnsi="Calibri"/>
                <w:sz w:val="22"/>
                <w:szCs w:val="18"/>
              </w:rPr>
              <w:t>ARAZI or AILA</w:t>
            </w:r>
          </w:p>
        </w:tc>
        <w:tc>
          <w:tcPr>
            <w:tcW w:w="7217" w:type="dxa"/>
          </w:tcPr>
          <w:p w14:paraId="239D31AA" w14:textId="77777777" w:rsidR="00FA0C21" w:rsidRPr="003C21A5" w:rsidRDefault="00FA0C21" w:rsidP="005B2ABE">
            <w:pPr>
              <w:rPr>
                <w:rFonts w:ascii="Calibri" w:hAnsi="Calibri"/>
                <w:sz w:val="22"/>
                <w:szCs w:val="18"/>
                <w:lang w:val="en-GB"/>
              </w:rPr>
            </w:pPr>
            <w:r w:rsidRPr="003C21A5">
              <w:rPr>
                <w:rFonts w:ascii="Calibri" w:hAnsi="Calibri"/>
                <w:sz w:val="22"/>
                <w:szCs w:val="18"/>
              </w:rPr>
              <w:t>Afghanistan Independent Land Authority</w:t>
            </w:r>
          </w:p>
        </w:tc>
      </w:tr>
      <w:tr w:rsidR="00FA0C21" w:rsidRPr="003C21A5" w14:paraId="272DACFC" w14:textId="77777777" w:rsidTr="00374CC9">
        <w:tc>
          <w:tcPr>
            <w:tcW w:w="1560" w:type="dxa"/>
          </w:tcPr>
          <w:p w14:paraId="36E6EE33" w14:textId="77777777" w:rsidR="00FA0C21" w:rsidRPr="003C21A5" w:rsidRDefault="00FA0C21" w:rsidP="005B2ABE">
            <w:pPr>
              <w:rPr>
                <w:rFonts w:ascii="Calibri" w:hAnsi="Calibri"/>
                <w:sz w:val="22"/>
                <w:szCs w:val="18"/>
                <w:lang w:val="en-GB"/>
              </w:rPr>
            </w:pPr>
            <w:r w:rsidRPr="003C21A5">
              <w:rPr>
                <w:rFonts w:ascii="Calibri" w:hAnsi="Calibri"/>
                <w:sz w:val="22"/>
                <w:szCs w:val="18"/>
              </w:rPr>
              <w:t>ARTF</w:t>
            </w:r>
          </w:p>
        </w:tc>
        <w:tc>
          <w:tcPr>
            <w:tcW w:w="7217" w:type="dxa"/>
          </w:tcPr>
          <w:p w14:paraId="544CF3B1" w14:textId="7A594C6A" w:rsidR="00FA0C21" w:rsidRPr="003C21A5" w:rsidRDefault="00FA0C21" w:rsidP="005B2ABE">
            <w:pPr>
              <w:rPr>
                <w:rFonts w:ascii="Calibri" w:hAnsi="Calibri"/>
                <w:sz w:val="22"/>
                <w:szCs w:val="18"/>
                <w:lang w:val="en-GB"/>
              </w:rPr>
            </w:pPr>
            <w:r w:rsidRPr="003C21A5">
              <w:rPr>
                <w:rFonts w:ascii="Calibri" w:hAnsi="Calibri"/>
                <w:sz w:val="22"/>
                <w:szCs w:val="18"/>
              </w:rPr>
              <w:t>Afghanistan Reconstruction Fund</w:t>
            </w:r>
          </w:p>
        </w:tc>
      </w:tr>
      <w:tr w:rsidR="00FA0C21" w:rsidRPr="003C21A5" w14:paraId="1D1C26D0" w14:textId="77777777" w:rsidTr="00374CC9">
        <w:tc>
          <w:tcPr>
            <w:tcW w:w="1560" w:type="dxa"/>
          </w:tcPr>
          <w:p w14:paraId="565ADDDE" w14:textId="77777777" w:rsidR="00FA0C21" w:rsidRPr="003C21A5" w:rsidRDefault="00FA0C21" w:rsidP="005B2ABE">
            <w:pPr>
              <w:rPr>
                <w:rFonts w:ascii="Calibri" w:hAnsi="Calibri"/>
                <w:sz w:val="22"/>
                <w:szCs w:val="18"/>
                <w:lang w:val="en-GB"/>
              </w:rPr>
            </w:pPr>
            <w:r w:rsidRPr="003C21A5">
              <w:rPr>
                <w:rFonts w:ascii="Calibri" w:hAnsi="Calibri"/>
                <w:sz w:val="22"/>
                <w:szCs w:val="18"/>
              </w:rPr>
              <w:t>ASI</w:t>
            </w:r>
          </w:p>
        </w:tc>
        <w:tc>
          <w:tcPr>
            <w:tcW w:w="7217" w:type="dxa"/>
          </w:tcPr>
          <w:p w14:paraId="76FE8408" w14:textId="4F7A567C" w:rsidR="00FA0C21" w:rsidRPr="003C21A5" w:rsidRDefault="00FA0C21" w:rsidP="005B2ABE">
            <w:pPr>
              <w:rPr>
                <w:rFonts w:ascii="Calibri" w:hAnsi="Calibri"/>
                <w:sz w:val="22"/>
                <w:szCs w:val="18"/>
                <w:lang w:val="en-GB"/>
              </w:rPr>
            </w:pPr>
            <w:r w:rsidRPr="003C21A5">
              <w:rPr>
                <w:rFonts w:ascii="Calibri" w:hAnsi="Calibri"/>
                <w:sz w:val="22"/>
                <w:szCs w:val="18"/>
                <w:lang w:val="en-GB"/>
              </w:rPr>
              <w:t xml:space="preserve">Adam Smith International </w:t>
            </w:r>
          </w:p>
        </w:tc>
      </w:tr>
      <w:tr w:rsidR="00FA0C21" w:rsidRPr="003C21A5" w14:paraId="5371083A" w14:textId="77777777" w:rsidTr="00374CC9">
        <w:tc>
          <w:tcPr>
            <w:tcW w:w="1560" w:type="dxa"/>
          </w:tcPr>
          <w:p w14:paraId="5C09AF6F"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BD</w:t>
            </w:r>
          </w:p>
        </w:tc>
        <w:tc>
          <w:tcPr>
            <w:tcW w:w="7217" w:type="dxa"/>
          </w:tcPr>
          <w:p w14:paraId="7A9C262A"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Budget Department</w:t>
            </w:r>
          </w:p>
        </w:tc>
      </w:tr>
      <w:tr w:rsidR="00FA0C21" w:rsidRPr="003C21A5" w14:paraId="4F3F4629" w14:textId="77777777" w:rsidTr="00374CC9">
        <w:tc>
          <w:tcPr>
            <w:tcW w:w="1560" w:type="dxa"/>
          </w:tcPr>
          <w:p w14:paraId="3255735C" w14:textId="77777777" w:rsidR="00FA0C21" w:rsidRPr="003C21A5" w:rsidRDefault="00FA0C21" w:rsidP="005B2ABE">
            <w:pPr>
              <w:rPr>
                <w:rFonts w:ascii="Calibri" w:hAnsi="Calibri"/>
                <w:sz w:val="22"/>
                <w:szCs w:val="18"/>
                <w:lang w:val="en-GB"/>
              </w:rPr>
            </w:pPr>
            <w:r w:rsidRPr="003C21A5">
              <w:rPr>
                <w:rFonts w:ascii="Calibri" w:hAnsi="Calibri"/>
                <w:sz w:val="22"/>
                <w:szCs w:val="18"/>
              </w:rPr>
              <w:t>CBR</w:t>
            </w:r>
          </w:p>
        </w:tc>
        <w:tc>
          <w:tcPr>
            <w:tcW w:w="7217" w:type="dxa"/>
          </w:tcPr>
          <w:p w14:paraId="1337658B" w14:textId="7476A4A2" w:rsidR="00FA0C21" w:rsidRPr="003C21A5" w:rsidRDefault="00FA0C21" w:rsidP="005B2ABE">
            <w:pPr>
              <w:rPr>
                <w:rFonts w:ascii="Calibri" w:hAnsi="Calibri"/>
                <w:sz w:val="22"/>
                <w:szCs w:val="18"/>
                <w:lang w:val="en-GB"/>
              </w:rPr>
            </w:pPr>
            <w:r w:rsidRPr="003C21A5">
              <w:rPr>
                <w:rFonts w:ascii="Calibri" w:hAnsi="Calibri"/>
                <w:sz w:val="22"/>
                <w:szCs w:val="18"/>
                <w:lang w:val="en-GB"/>
              </w:rPr>
              <w:t>Capacity Building for Results</w:t>
            </w:r>
          </w:p>
        </w:tc>
      </w:tr>
      <w:tr w:rsidR="00FA0C21" w:rsidRPr="003C21A5" w14:paraId="2C9E0427" w14:textId="77777777" w:rsidTr="00374CC9">
        <w:tc>
          <w:tcPr>
            <w:tcW w:w="1560" w:type="dxa"/>
          </w:tcPr>
          <w:p w14:paraId="4973635E" w14:textId="77777777" w:rsidR="00FA0C21" w:rsidRPr="003C21A5" w:rsidRDefault="00FA0C21" w:rsidP="005B2ABE">
            <w:pPr>
              <w:rPr>
                <w:rFonts w:ascii="Calibri" w:hAnsi="Calibri"/>
                <w:sz w:val="22"/>
                <w:szCs w:val="18"/>
                <w:lang w:val="en-GB"/>
              </w:rPr>
            </w:pPr>
            <w:r w:rsidRPr="003C21A5">
              <w:rPr>
                <w:rFonts w:ascii="Calibri" w:eastAsia="Times New Roman" w:hAnsi="Calibri"/>
                <w:color w:val="000000"/>
                <w:sz w:val="22"/>
                <w:szCs w:val="18"/>
                <w:lang w:val="en-GB" w:eastAsia="en-GB"/>
              </w:rPr>
              <w:t>CD</w:t>
            </w:r>
          </w:p>
        </w:tc>
        <w:tc>
          <w:tcPr>
            <w:tcW w:w="7217" w:type="dxa"/>
          </w:tcPr>
          <w:p w14:paraId="6AB7EA22"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Customs Department</w:t>
            </w:r>
          </w:p>
        </w:tc>
      </w:tr>
      <w:tr w:rsidR="00FA0C21" w:rsidRPr="003C21A5" w14:paraId="6AEB03BE" w14:textId="77777777" w:rsidTr="00374CC9">
        <w:tc>
          <w:tcPr>
            <w:tcW w:w="1560" w:type="dxa"/>
          </w:tcPr>
          <w:p w14:paraId="451211ED"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CSO</w:t>
            </w:r>
          </w:p>
        </w:tc>
        <w:tc>
          <w:tcPr>
            <w:tcW w:w="7217" w:type="dxa"/>
          </w:tcPr>
          <w:p w14:paraId="61468F0E" w14:textId="77777777" w:rsidR="00FA0C21" w:rsidRPr="003C21A5" w:rsidRDefault="00FA0C21" w:rsidP="005B2ABE">
            <w:pPr>
              <w:rPr>
                <w:rFonts w:ascii="Calibri" w:hAnsi="Calibri"/>
                <w:sz w:val="22"/>
                <w:szCs w:val="18"/>
                <w:lang w:val="en-GB"/>
              </w:rPr>
            </w:pPr>
            <w:r w:rsidRPr="003C21A5">
              <w:rPr>
                <w:rFonts w:ascii="Calibri" w:hAnsi="Calibri"/>
                <w:sz w:val="22"/>
                <w:szCs w:val="18"/>
              </w:rPr>
              <w:t>Central Statistics Office</w:t>
            </w:r>
          </w:p>
        </w:tc>
      </w:tr>
      <w:tr w:rsidR="00FA0C21" w:rsidRPr="003C21A5" w14:paraId="2F6091EE" w14:textId="77777777" w:rsidTr="00374CC9">
        <w:tc>
          <w:tcPr>
            <w:tcW w:w="1560" w:type="dxa"/>
          </w:tcPr>
          <w:p w14:paraId="54FB934C" w14:textId="77777777" w:rsidR="00FA0C21" w:rsidRPr="003C21A5" w:rsidRDefault="00FA0C21" w:rsidP="005B2ABE">
            <w:pPr>
              <w:rPr>
                <w:rFonts w:ascii="Calibri" w:hAnsi="Calibri"/>
                <w:sz w:val="22"/>
                <w:szCs w:val="18"/>
                <w:lang w:val="en-GB"/>
              </w:rPr>
            </w:pPr>
            <w:r w:rsidRPr="003C21A5">
              <w:rPr>
                <w:rFonts w:ascii="Calibri" w:hAnsi="Calibri"/>
                <w:sz w:val="22"/>
                <w:szCs w:val="18"/>
              </w:rPr>
              <w:t>DFID</w:t>
            </w:r>
          </w:p>
        </w:tc>
        <w:tc>
          <w:tcPr>
            <w:tcW w:w="7217" w:type="dxa"/>
          </w:tcPr>
          <w:p w14:paraId="524EAD70" w14:textId="1043C9A9" w:rsidR="00FA0C21" w:rsidRPr="003C21A5" w:rsidRDefault="00FA0C21" w:rsidP="005B2ABE">
            <w:pPr>
              <w:rPr>
                <w:rFonts w:ascii="Calibri" w:hAnsi="Calibri"/>
                <w:sz w:val="22"/>
                <w:szCs w:val="18"/>
                <w:lang w:val="en-GB"/>
              </w:rPr>
            </w:pPr>
            <w:r w:rsidRPr="003C21A5">
              <w:rPr>
                <w:rFonts w:ascii="Calibri" w:hAnsi="Calibri"/>
                <w:sz w:val="22"/>
                <w:szCs w:val="18"/>
                <w:lang w:val="en-GB"/>
              </w:rPr>
              <w:t>Department for International Development (UK)</w:t>
            </w:r>
          </w:p>
        </w:tc>
      </w:tr>
      <w:tr w:rsidR="00FA0C21" w:rsidRPr="003C21A5" w14:paraId="21F7C9DE" w14:textId="77777777" w:rsidTr="00374CC9">
        <w:tc>
          <w:tcPr>
            <w:tcW w:w="1560" w:type="dxa"/>
          </w:tcPr>
          <w:p w14:paraId="26CB350C"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GDP</w:t>
            </w:r>
          </w:p>
        </w:tc>
        <w:tc>
          <w:tcPr>
            <w:tcW w:w="7217" w:type="dxa"/>
          </w:tcPr>
          <w:p w14:paraId="5CBEE22D" w14:textId="74AC109F" w:rsidR="00FA0C21" w:rsidRPr="003C21A5" w:rsidRDefault="00FA0C21" w:rsidP="005B2ABE">
            <w:pPr>
              <w:rPr>
                <w:rFonts w:ascii="Calibri" w:hAnsi="Calibri"/>
                <w:sz w:val="22"/>
                <w:szCs w:val="18"/>
                <w:lang w:val="en-GB"/>
              </w:rPr>
            </w:pPr>
            <w:r w:rsidRPr="003C21A5">
              <w:rPr>
                <w:rFonts w:ascii="Calibri" w:hAnsi="Calibri"/>
                <w:sz w:val="22"/>
                <w:szCs w:val="18"/>
                <w:lang w:val="en-GB"/>
              </w:rPr>
              <w:t>Gross Domestic Product</w:t>
            </w:r>
          </w:p>
        </w:tc>
      </w:tr>
      <w:tr w:rsidR="00FA0C21" w:rsidRPr="003C21A5" w14:paraId="32FC369D" w14:textId="77777777" w:rsidTr="00374CC9">
        <w:tc>
          <w:tcPr>
            <w:tcW w:w="1560" w:type="dxa"/>
          </w:tcPr>
          <w:p w14:paraId="3A08043E" w14:textId="77777777" w:rsidR="00FA0C21" w:rsidRPr="003C21A5" w:rsidRDefault="00FA0C21" w:rsidP="005B2ABE">
            <w:pPr>
              <w:rPr>
                <w:rFonts w:ascii="Calibri" w:hAnsi="Calibri"/>
                <w:sz w:val="22"/>
                <w:szCs w:val="18"/>
                <w:lang w:val="en-GB"/>
              </w:rPr>
            </w:pPr>
            <w:r w:rsidRPr="003C21A5">
              <w:rPr>
                <w:rFonts w:ascii="Calibri" w:hAnsi="Calibri"/>
                <w:sz w:val="22"/>
                <w:szCs w:val="18"/>
              </w:rPr>
              <w:t>GoIRA</w:t>
            </w:r>
          </w:p>
        </w:tc>
        <w:tc>
          <w:tcPr>
            <w:tcW w:w="7217" w:type="dxa"/>
          </w:tcPr>
          <w:p w14:paraId="60979A02" w14:textId="1FAA86EE" w:rsidR="00FA0C21" w:rsidRPr="003C21A5" w:rsidRDefault="00FA0C21" w:rsidP="005B2ABE">
            <w:pPr>
              <w:rPr>
                <w:rFonts w:ascii="Calibri" w:hAnsi="Calibri"/>
                <w:sz w:val="22"/>
                <w:szCs w:val="18"/>
                <w:lang w:val="en-GB"/>
              </w:rPr>
            </w:pPr>
            <w:r w:rsidRPr="003C21A5">
              <w:rPr>
                <w:rFonts w:ascii="Calibri" w:hAnsi="Calibri"/>
                <w:sz w:val="22"/>
                <w:szCs w:val="18"/>
                <w:lang w:val="en-GB"/>
              </w:rPr>
              <w:t xml:space="preserve">Government of the Islamic Republic of Afghanistan </w:t>
            </w:r>
          </w:p>
        </w:tc>
      </w:tr>
      <w:tr w:rsidR="00FA0C21" w:rsidRPr="003C21A5" w14:paraId="7E579FBD" w14:textId="77777777" w:rsidTr="00374CC9">
        <w:tc>
          <w:tcPr>
            <w:tcW w:w="1560" w:type="dxa"/>
          </w:tcPr>
          <w:p w14:paraId="10C7F07E" w14:textId="77777777" w:rsidR="00FA0C21" w:rsidRPr="003C21A5" w:rsidRDefault="00FA0C21" w:rsidP="005B2ABE">
            <w:pPr>
              <w:rPr>
                <w:rFonts w:ascii="Calibri" w:hAnsi="Calibri"/>
                <w:sz w:val="22"/>
                <w:szCs w:val="18"/>
                <w:lang w:val="en-GB"/>
              </w:rPr>
            </w:pPr>
            <w:r w:rsidRPr="003C21A5">
              <w:rPr>
                <w:rFonts w:ascii="Calibri" w:hAnsi="Calibri"/>
                <w:sz w:val="22"/>
                <w:szCs w:val="18"/>
              </w:rPr>
              <w:t>HR</w:t>
            </w:r>
          </w:p>
        </w:tc>
        <w:tc>
          <w:tcPr>
            <w:tcW w:w="7217" w:type="dxa"/>
          </w:tcPr>
          <w:p w14:paraId="6161C1E0" w14:textId="77777777" w:rsidR="00FA0C21" w:rsidRPr="003C21A5" w:rsidRDefault="00FA0C21" w:rsidP="005B2ABE">
            <w:pPr>
              <w:rPr>
                <w:rFonts w:ascii="Calibri" w:hAnsi="Calibri"/>
                <w:sz w:val="22"/>
                <w:szCs w:val="18"/>
                <w:lang w:val="en-GB"/>
              </w:rPr>
            </w:pPr>
            <w:r w:rsidRPr="003C21A5">
              <w:rPr>
                <w:rFonts w:ascii="Calibri" w:hAnsi="Calibri"/>
                <w:sz w:val="22"/>
                <w:szCs w:val="18"/>
              </w:rPr>
              <w:t>Human Resources</w:t>
            </w:r>
          </w:p>
        </w:tc>
      </w:tr>
      <w:tr w:rsidR="00FA0C21" w:rsidRPr="003C21A5" w14:paraId="153D3C59" w14:textId="77777777" w:rsidTr="00374CC9">
        <w:tc>
          <w:tcPr>
            <w:tcW w:w="1560" w:type="dxa"/>
          </w:tcPr>
          <w:p w14:paraId="02980F0C"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HRD</w:t>
            </w:r>
          </w:p>
        </w:tc>
        <w:tc>
          <w:tcPr>
            <w:tcW w:w="7217" w:type="dxa"/>
          </w:tcPr>
          <w:p w14:paraId="1E85FCBA"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Human Resources Department</w:t>
            </w:r>
          </w:p>
        </w:tc>
      </w:tr>
      <w:tr w:rsidR="00FA0C21" w:rsidRPr="003C21A5" w14:paraId="6F83B28C" w14:textId="77777777" w:rsidTr="00374CC9">
        <w:tc>
          <w:tcPr>
            <w:tcW w:w="1560" w:type="dxa"/>
          </w:tcPr>
          <w:p w14:paraId="6940E577"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IAD</w:t>
            </w:r>
          </w:p>
        </w:tc>
        <w:tc>
          <w:tcPr>
            <w:tcW w:w="7217" w:type="dxa"/>
          </w:tcPr>
          <w:p w14:paraId="79AFFCD7"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Internal Audit Department</w:t>
            </w:r>
          </w:p>
        </w:tc>
      </w:tr>
      <w:tr w:rsidR="00FA0C21" w:rsidRPr="003C21A5" w14:paraId="45243CBD" w14:textId="77777777" w:rsidTr="00374CC9">
        <w:tc>
          <w:tcPr>
            <w:tcW w:w="1560" w:type="dxa"/>
          </w:tcPr>
          <w:p w14:paraId="2A659B2C"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ID</w:t>
            </w:r>
          </w:p>
        </w:tc>
        <w:tc>
          <w:tcPr>
            <w:tcW w:w="7217" w:type="dxa"/>
          </w:tcPr>
          <w:p w14:paraId="16FEB9A2"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Insurance Department</w:t>
            </w:r>
          </w:p>
        </w:tc>
      </w:tr>
      <w:tr w:rsidR="00FA0C21" w:rsidRPr="003C21A5" w14:paraId="3573DC89" w14:textId="77777777" w:rsidTr="00374CC9">
        <w:tc>
          <w:tcPr>
            <w:tcW w:w="1560" w:type="dxa"/>
          </w:tcPr>
          <w:p w14:paraId="1A3B040A" w14:textId="77777777" w:rsidR="00FA0C21" w:rsidRPr="003C21A5" w:rsidRDefault="00FA0C21" w:rsidP="005B2ABE">
            <w:pPr>
              <w:rPr>
                <w:rFonts w:ascii="Calibri" w:hAnsi="Calibri"/>
                <w:sz w:val="22"/>
                <w:szCs w:val="18"/>
                <w:lang w:val="en-GB"/>
              </w:rPr>
            </w:pPr>
            <w:r w:rsidRPr="003C21A5">
              <w:rPr>
                <w:rFonts w:ascii="Calibri" w:hAnsi="Calibri"/>
                <w:sz w:val="22"/>
                <w:szCs w:val="18"/>
              </w:rPr>
              <w:t>IDLG</w:t>
            </w:r>
          </w:p>
        </w:tc>
        <w:tc>
          <w:tcPr>
            <w:tcW w:w="7217" w:type="dxa"/>
          </w:tcPr>
          <w:p w14:paraId="6516C441" w14:textId="77777777" w:rsidR="00FA0C21" w:rsidRPr="003C21A5" w:rsidRDefault="00FA0C21" w:rsidP="005B2ABE">
            <w:pPr>
              <w:rPr>
                <w:rFonts w:ascii="Calibri" w:hAnsi="Calibri"/>
                <w:sz w:val="22"/>
                <w:szCs w:val="18"/>
                <w:lang w:val="en-GB"/>
              </w:rPr>
            </w:pPr>
            <w:r w:rsidRPr="003C21A5">
              <w:rPr>
                <w:rFonts w:ascii="Calibri" w:hAnsi="Calibri"/>
                <w:sz w:val="22"/>
                <w:szCs w:val="18"/>
              </w:rPr>
              <w:t>Independent Directorate of Local Governance</w:t>
            </w:r>
          </w:p>
        </w:tc>
      </w:tr>
      <w:tr w:rsidR="00FA0C21" w:rsidRPr="003C21A5" w14:paraId="68F64318" w14:textId="77777777" w:rsidTr="00374CC9">
        <w:tc>
          <w:tcPr>
            <w:tcW w:w="1560" w:type="dxa"/>
          </w:tcPr>
          <w:p w14:paraId="38E05554" w14:textId="77777777" w:rsidR="00FA0C21" w:rsidRPr="003C21A5" w:rsidRDefault="00FA0C21" w:rsidP="005B2ABE">
            <w:pPr>
              <w:rPr>
                <w:rFonts w:ascii="Calibri" w:hAnsi="Calibri"/>
                <w:sz w:val="22"/>
                <w:szCs w:val="18"/>
                <w:lang w:val="en-GB"/>
              </w:rPr>
            </w:pPr>
            <w:r w:rsidRPr="003C21A5">
              <w:rPr>
                <w:rFonts w:ascii="Calibri" w:hAnsi="Calibri"/>
                <w:sz w:val="22"/>
                <w:szCs w:val="18"/>
              </w:rPr>
              <w:t>IT</w:t>
            </w:r>
          </w:p>
        </w:tc>
        <w:tc>
          <w:tcPr>
            <w:tcW w:w="7217" w:type="dxa"/>
          </w:tcPr>
          <w:p w14:paraId="11363E07" w14:textId="77777777" w:rsidR="00FA0C21" w:rsidRPr="003C21A5" w:rsidRDefault="00FA0C21" w:rsidP="005B2ABE">
            <w:pPr>
              <w:rPr>
                <w:rFonts w:ascii="Calibri" w:hAnsi="Calibri"/>
                <w:sz w:val="22"/>
                <w:szCs w:val="18"/>
                <w:lang w:val="en-GB"/>
              </w:rPr>
            </w:pPr>
            <w:r w:rsidRPr="003C21A5">
              <w:rPr>
                <w:rFonts w:ascii="Calibri" w:hAnsi="Calibri"/>
                <w:sz w:val="22"/>
                <w:szCs w:val="18"/>
              </w:rPr>
              <w:t>Information Technology</w:t>
            </w:r>
          </w:p>
        </w:tc>
      </w:tr>
      <w:tr w:rsidR="00FA0C21" w:rsidRPr="003C21A5" w14:paraId="3B2F49CA" w14:textId="77777777" w:rsidTr="00374CC9">
        <w:tc>
          <w:tcPr>
            <w:tcW w:w="1560" w:type="dxa"/>
          </w:tcPr>
          <w:p w14:paraId="4A78E488" w14:textId="77777777" w:rsidR="00FA0C21" w:rsidRPr="003C21A5" w:rsidRDefault="00FA0C21" w:rsidP="005B2ABE">
            <w:pPr>
              <w:rPr>
                <w:rFonts w:ascii="Calibri" w:hAnsi="Calibri"/>
                <w:sz w:val="22"/>
                <w:szCs w:val="18"/>
                <w:lang w:val="en-GB"/>
              </w:rPr>
            </w:pPr>
            <w:r w:rsidRPr="003C21A5">
              <w:rPr>
                <w:rFonts w:ascii="Calibri" w:hAnsi="Calibri"/>
                <w:sz w:val="22"/>
                <w:szCs w:val="18"/>
              </w:rPr>
              <w:t>MAIL</w:t>
            </w:r>
          </w:p>
        </w:tc>
        <w:tc>
          <w:tcPr>
            <w:tcW w:w="7217" w:type="dxa"/>
          </w:tcPr>
          <w:p w14:paraId="1AE41611" w14:textId="77777777" w:rsidR="00FA0C21" w:rsidRPr="003C21A5" w:rsidRDefault="00FA0C21" w:rsidP="005B2ABE">
            <w:pPr>
              <w:rPr>
                <w:rFonts w:ascii="Calibri" w:hAnsi="Calibri"/>
                <w:sz w:val="22"/>
                <w:szCs w:val="18"/>
                <w:lang w:val="en-GB"/>
              </w:rPr>
            </w:pPr>
            <w:r w:rsidRPr="003C21A5">
              <w:rPr>
                <w:rFonts w:ascii="Calibri" w:hAnsi="Calibri"/>
                <w:sz w:val="22"/>
                <w:szCs w:val="18"/>
              </w:rPr>
              <w:t>Ministry of Agriculture Irrigation and Livestock</w:t>
            </w:r>
          </w:p>
        </w:tc>
      </w:tr>
      <w:tr w:rsidR="00FA0C21" w:rsidRPr="003C21A5" w14:paraId="2133A8B6" w14:textId="77777777" w:rsidTr="00374CC9">
        <w:tc>
          <w:tcPr>
            <w:tcW w:w="1560" w:type="dxa"/>
          </w:tcPr>
          <w:p w14:paraId="202EAC64" w14:textId="77777777" w:rsidR="00FA0C21" w:rsidRPr="003C21A5" w:rsidRDefault="00FA0C21" w:rsidP="005B2ABE">
            <w:pPr>
              <w:rPr>
                <w:rFonts w:ascii="Calibri" w:hAnsi="Calibri"/>
                <w:sz w:val="22"/>
                <w:szCs w:val="18"/>
                <w:lang w:val="en-GB"/>
              </w:rPr>
            </w:pPr>
            <w:r w:rsidRPr="003C21A5">
              <w:rPr>
                <w:rFonts w:ascii="Calibri" w:eastAsia="Times New Roman" w:hAnsi="Calibri"/>
                <w:color w:val="000000"/>
                <w:sz w:val="22"/>
                <w:szCs w:val="18"/>
                <w:lang w:val="en-GB" w:eastAsia="en-GB"/>
              </w:rPr>
              <w:t>MARGD</w:t>
            </w:r>
          </w:p>
        </w:tc>
        <w:tc>
          <w:tcPr>
            <w:tcW w:w="7217" w:type="dxa"/>
          </w:tcPr>
          <w:p w14:paraId="39984248"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Monitoring, Analysis and Reporting General Directorate</w:t>
            </w:r>
          </w:p>
        </w:tc>
      </w:tr>
      <w:tr w:rsidR="00FA0C21" w:rsidRPr="003C21A5" w14:paraId="546C5693" w14:textId="77777777" w:rsidTr="00374CC9">
        <w:tc>
          <w:tcPr>
            <w:tcW w:w="1560" w:type="dxa"/>
          </w:tcPr>
          <w:p w14:paraId="55DC1ED0" w14:textId="77777777" w:rsidR="00FA0C21" w:rsidRPr="003C21A5" w:rsidRDefault="00FA0C21" w:rsidP="005B2ABE">
            <w:pPr>
              <w:rPr>
                <w:rFonts w:ascii="Calibri" w:hAnsi="Calibri"/>
                <w:sz w:val="22"/>
                <w:szCs w:val="18"/>
                <w:lang w:val="en-GB"/>
              </w:rPr>
            </w:pPr>
            <w:r w:rsidRPr="003C21A5">
              <w:rPr>
                <w:rFonts w:ascii="Calibri" w:hAnsi="Calibri"/>
                <w:sz w:val="22"/>
                <w:szCs w:val="18"/>
              </w:rPr>
              <w:t>MBAW</w:t>
            </w:r>
          </w:p>
        </w:tc>
        <w:tc>
          <w:tcPr>
            <w:tcW w:w="7217" w:type="dxa"/>
          </w:tcPr>
          <w:p w14:paraId="78970373" w14:textId="6D99C66F" w:rsidR="00FA0C21" w:rsidRPr="003C21A5" w:rsidRDefault="00FA0C21" w:rsidP="005B2ABE">
            <w:pPr>
              <w:rPr>
                <w:rFonts w:ascii="Calibri" w:hAnsi="Calibri"/>
                <w:sz w:val="22"/>
                <w:szCs w:val="18"/>
                <w:lang w:val="en-GB"/>
              </w:rPr>
            </w:pPr>
            <w:r w:rsidRPr="003C21A5">
              <w:rPr>
                <w:rFonts w:ascii="Calibri" w:hAnsi="Calibri"/>
                <w:sz w:val="22"/>
                <w:szCs w:val="18"/>
                <w:lang w:val="en-GB"/>
              </w:rPr>
              <w:t xml:space="preserve">Making Budgets and Aid Work </w:t>
            </w:r>
          </w:p>
        </w:tc>
      </w:tr>
      <w:tr w:rsidR="00FA0C21" w:rsidRPr="003C21A5" w14:paraId="52956620" w14:textId="77777777" w:rsidTr="00374CC9">
        <w:tc>
          <w:tcPr>
            <w:tcW w:w="1560" w:type="dxa"/>
          </w:tcPr>
          <w:p w14:paraId="5B4232B9" w14:textId="77777777" w:rsidR="00FA0C21" w:rsidRPr="003C21A5" w:rsidRDefault="00FA0C21" w:rsidP="005B2ABE">
            <w:pPr>
              <w:rPr>
                <w:rFonts w:ascii="Calibri" w:hAnsi="Calibri"/>
                <w:sz w:val="22"/>
                <w:szCs w:val="18"/>
                <w:lang w:val="en-GB"/>
              </w:rPr>
            </w:pPr>
            <w:r w:rsidRPr="00260D4D">
              <w:rPr>
                <w:rFonts w:ascii="Calibri" w:hAnsi="Calibri"/>
                <w:sz w:val="22"/>
                <w:szCs w:val="18"/>
              </w:rPr>
              <w:t>MFPD</w:t>
            </w:r>
          </w:p>
        </w:tc>
        <w:tc>
          <w:tcPr>
            <w:tcW w:w="7217" w:type="dxa"/>
          </w:tcPr>
          <w:p w14:paraId="15A0BD93" w14:textId="77777777" w:rsidR="00FA0C21" w:rsidRPr="003C21A5" w:rsidRDefault="00FA0C21" w:rsidP="00FA0C21">
            <w:pPr>
              <w:rPr>
                <w:rFonts w:ascii="Calibri" w:hAnsi="Calibri"/>
                <w:sz w:val="22"/>
                <w:szCs w:val="18"/>
                <w:lang w:val="en-GB"/>
              </w:rPr>
            </w:pPr>
            <w:r w:rsidRPr="003C21A5">
              <w:rPr>
                <w:rFonts w:ascii="Calibri" w:hAnsi="Calibri"/>
                <w:sz w:val="22"/>
                <w:szCs w:val="18"/>
              </w:rPr>
              <w:t>Macroeconomic and Fiscal Performance Department</w:t>
            </w:r>
          </w:p>
        </w:tc>
      </w:tr>
      <w:tr w:rsidR="00FA0C21" w:rsidRPr="003C21A5" w14:paraId="6A845D13" w14:textId="77777777" w:rsidTr="00374CC9">
        <w:tc>
          <w:tcPr>
            <w:tcW w:w="1560" w:type="dxa"/>
          </w:tcPr>
          <w:p w14:paraId="487BBC88" w14:textId="77777777" w:rsidR="00FA0C21" w:rsidRPr="003C21A5" w:rsidRDefault="00FA0C21" w:rsidP="005B2ABE">
            <w:pPr>
              <w:rPr>
                <w:rFonts w:ascii="Calibri" w:hAnsi="Calibri"/>
                <w:sz w:val="22"/>
                <w:szCs w:val="18"/>
                <w:lang w:val="en-GB"/>
              </w:rPr>
            </w:pPr>
            <w:r w:rsidRPr="003C21A5">
              <w:rPr>
                <w:rFonts w:ascii="Calibri" w:hAnsi="Calibri"/>
                <w:sz w:val="22"/>
                <w:szCs w:val="18"/>
              </w:rPr>
              <w:t>MOF</w:t>
            </w:r>
          </w:p>
        </w:tc>
        <w:tc>
          <w:tcPr>
            <w:tcW w:w="7217" w:type="dxa"/>
          </w:tcPr>
          <w:p w14:paraId="4DFC7E41" w14:textId="06A16C23" w:rsidR="00FA0C21" w:rsidRPr="003C21A5" w:rsidRDefault="00260D4D" w:rsidP="005B2ABE">
            <w:pPr>
              <w:rPr>
                <w:rFonts w:ascii="Calibri" w:hAnsi="Calibri"/>
                <w:sz w:val="22"/>
                <w:szCs w:val="18"/>
                <w:lang w:val="en-GB"/>
              </w:rPr>
            </w:pPr>
            <w:r w:rsidRPr="003C21A5">
              <w:rPr>
                <w:rFonts w:ascii="Calibri" w:hAnsi="Calibri"/>
                <w:sz w:val="22"/>
                <w:szCs w:val="18"/>
                <w:lang w:val="en-GB"/>
              </w:rPr>
              <w:t>Ministry</w:t>
            </w:r>
            <w:r w:rsidR="00FA0C21" w:rsidRPr="003C21A5">
              <w:rPr>
                <w:rFonts w:ascii="Calibri" w:hAnsi="Calibri"/>
                <w:sz w:val="22"/>
                <w:szCs w:val="18"/>
                <w:lang w:val="en-GB"/>
              </w:rPr>
              <w:t xml:space="preserve"> of Finance</w:t>
            </w:r>
          </w:p>
        </w:tc>
      </w:tr>
      <w:tr w:rsidR="00FA0C21" w:rsidRPr="003C21A5" w14:paraId="39E41DDA" w14:textId="77777777" w:rsidTr="00374CC9">
        <w:tc>
          <w:tcPr>
            <w:tcW w:w="1560" w:type="dxa"/>
          </w:tcPr>
          <w:p w14:paraId="72F39D75" w14:textId="77777777" w:rsidR="00FA0C21" w:rsidRPr="003C21A5" w:rsidRDefault="00FA0C21" w:rsidP="005B2ABE">
            <w:pPr>
              <w:rPr>
                <w:rFonts w:ascii="Calibri" w:hAnsi="Calibri"/>
                <w:sz w:val="22"/>
                <w:szCs w:val="18"/>
                <w:lang w:val="en-GB"/>
              </w:rPr>
            </w:pPr>
            <w:r w:rsidRPr="003C21A5">
              <w:rPr>
                <w:rFonts w:ascii="Calibri" w:hAnsi="Calibri"/>
                <w:sz w:val="22"/>
                <w:szCs w:val="18"/>
              </w:rPr>
              <w:t>NPA</w:t>
            </w:r>
          </w:p>
        </w:tc>
        <w:tc>
          <w:tcPr>
            <w:tcW w:w="7217" w:type="dxa"/>
          </w:tcPr>
          <w:p w14:paraId="06EC7F81" w14:textId="77777777" w:rsidR="00FA0C21" w:rsidRPr="003C21A5" w:rsidRDefault="00FA0C21" w:rsidP="005B2ABE">
            <w:pPr>
              <w:rPr>
                <w:rFonts w:ascii="Calibri" w:hAnsi="Calibri"/>
                <w:sz w:val="22"/>
                <w:szCs w:val="18"/>
                <w:lang w:val="en-GB"/>
              </w:rPr>
            </w:pPr>
            <w:r w:rsidRPr="003C21A5">
              <w:rPr>
                <w:rFonts w:ascii="Calibri" w:hAnsi="Calibri"/>
                <w:sz w:val="22"/>
                <w:szCs w:val="18"/>
              </w:rPr>
              <w:t>National Procurement Authority</w:t>
            </w:r>
          </w:p>
        </w:tc>
      </w:tr>
      <w:tr w:rsidR="00FA0C21" w:rsidRPr="003C21A5" w14:paraId="348AA7E1" w14:textId="77777777" w:rsidTr="00374CC9">
        <w:tc>
          <w:tcPr>
            <w:tcW w:w="1560" w:type="dxa"/>
          </w:tcPr>
          <w:p w14:paraId="7F5A118D" w14:textId="77777777" w:rsidR="00FA0C21" w:rsidRPr="003C21A5" w:rsidRDefault="00FA0C21" w:rsidP="005B2ABE">
            <w:pPr>
              <w:rPr>
                <w:rFonts w:ascii="Calibri" w:hAnsi="Calibri"/>
                <w:sz w:val="22"/>
                <w:szCs w:val="18"/>
                <w:lang w:val="en-GB"/>
              </w:rPr>
            </w:pPr>
            <w:r w:rsidRPr="003C21A5">
              <w:rPr>
                <w:rFonts w:ascii="Calibri" w:hAnsi="Calibri"/>
                <w:sz w:val="22"/>
                <w:szCs w:val="18"/>
              </w:rPr>
              <w:t>OBI</w:t>
            </w:r>
          </w:p>
        </w:tc>
        <w:tc>
          <w:tcPr>
            <w:tcW w:w="7217" w:type="dxa"/>
          </w:tcPr>
          <w:p w14:paraId="3D605ADD" w14:textId="67518852" w:rsidR="00FA0C21" w:rsidRPr="003C21A5" w:rsidRDefault="00FA0C21" w:rsidP="005B2ABE">
            <w:pPr>
              <w:rPr>
                <w:rFonts w:ascii="Calibri" w:hAnsi="Calibri"/>
                <w:sz w:val="22"/>
                <w:szCs w:val="18"/>
                <w:lang w:val="en-GB"/>
              </w:rPr>
            </w:pPr>
            <w:r w:rsidRPr="003C21A5">
              <w:rPr>
                <w:rFonts w:ascii="Calibri" w:hAnsi="Calibri"/>
                <w:sz w:val="22"/>
                <w:szCs w:val="18"/>
                <w:lang w:val="en-GB"/>
              </w:rPr>
              <w:t>Open Budget Index</w:t>
            </w:r>
          </w:p>
        </w:tc>
      </w:tr>
      <w:tr w:rsidR="00FA0C21" w:rsidRPr="003C21A5" w14:paraId="073A2825" w14:textId="77777777" w:rsidTr="00374CC9">
        <w:tc>
          <w:tcPr>
            <w:tcW w:w="1560" w:type="dxa"/>
          </w:tcPr>
          <w:p w14:paraId="4657232D" w14:textId="77777777" w:rsidR="00FA0C21" w:rsidRPr="003C21A5" w:rsidRDefault="00FA0C21" w:rsidP="005B2ABE">
            <w:pPr>
              <w:rPr>
                <w:rFonts w:ascii="Calibri" w:hAnsi="Calibri"/>
                <w:sz w:val="22"/>
                <w:szCs w:val="18"/>
                <w:lang w:val="en-GB"/>
              </w:rPr>
            </w:pPr>
            <w:r w:rsidRPr="003C21A5">
              <w:rPr>
                <w:rFonts w:ascii="Calibri" w:eastAsia="Times New Roman" w:hAnsi="Calibri"/>
                <w:color w:val="000000"/>
                <w:sz w:val="22"/>
                <w:szCs w:val="18"/>
                <w:lang w:val="en-GB" w:eastAsia="en-GB"/>
              </w:rPr>
              <w:t>OoM</w:t>
            </w:r>
          </w:p>
        </w:tc>
        <w:tc>
          <w:tcPr>
            <w:tcW w:w="7217" w:type="dxa"/>
          </w:tcPr>
          <w:p w14:paraId="17ED5748"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Office of the Minister</w:t>
            </w:r>
          </w:p>
        </w:tc>
      </w:tr>
      <w:tr w:rsidR="00FA0C21" w:rsidRPr="003C21A5" w14:paraId="6DC920BC" w14:textId="77777777" w:rsidTr="00374CC9">
        <w:tc>
          <w:tcPr>
            <w:tcW w:w="1560" w:type="dxa"/>
          </w:tcPr>
          <w:p w14:paraId="5D22D5C0"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PD</w:t>
            </w:r>
          </w:p>
        </w:tc>
        <w:tc>
          <w:tcPr>
            <w:tcW w:w="7217" w:type="dxa"/>
          </w:tcPr>
          <w:p w14:paraId="1C6F1D70"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Property Department</w:t>
            </w:r>
          </w:p>
        </w:tc>
      </w:tr>
      <w:tr w:rsidR="00FA0C21" w:rsidRPr="003C21A5" w14:paraId="7E7A2FC7" w14:textId="77777777" w:rsidTr="00374CC9">
        <w:tc>
          <w:tcPr>
            <w:tcW w:w="1560" w:type="dxa"/>
          </w:tcPr>
          <w:p w14:paraId="57F9BE56"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PEFA</w:t>
            </w:r>
          </w:p>
        </w:tc>
        <w:tc>
          <w:tcPr>
            <w:tcW w:w="7217" w:type="dxa"/>
          </w:tcPr>
          <w:p w14:paraId="2307D4C4" w14:textId="78A83DB2" w:rsidR="00FA0C21" w:rsidRPr="003C21A5" w:rsidRDefault="00FA0C21" w:rsidP="005B2ABE">
            <w:pPr>
              <w:rPr>
                <w:rFonts w:ascii="Calibri" w:hAnsi="Calibri"/>
                <w:sz w:val="22"/>
                <w:szCs w:val="18"/>
                <w:lang w:val="en-GB"/>
              </w:rPr>
            </w:pPr>
            <w:r w:rsidRPr="003C21A5">
              <w:rPr>
                <w:rFonts w:ascii="Calibri" w:hAnsi="Calibri"/>
                <w:sz w:val="22"/>
                <w:szCs w:val="18"/>
                <w:lang w:val="en-GB"/>
              </w:rPr>
              <w:t xml:space="preserve">Public Expenditure and Financial Accountability </w:t>
            </w:r>
          </w:p>
        </w:tc>
      </w:tr>
      <w:tr w:rsidR="00FA0C21" w:rsidRPr="003C21A5" w14:paraId="5A9170CB" w14:textId="77777777" w:rsidTr="00374CC9">
        <w:tc>
          <w:tcPr>
            <w:tcW w:w="1560" w:type="dxa"/>
          </w:tcPr>
          <w:p w14:paraId="3087D78F" w14:textId="77777777" w:rsidR="00FA0C21" w:rsidRPr="003C21A5" w:rsidRDefault="00FA0C21" w:rsidP="005B2ABE">
            <w:pPr>
              <w:rPr>
                <w:rFonts w:ascii="Calibri" w:hAnsi="Calibri"/>
                <w:sz w:val="22"/>
                <w:szCs w:val="18"/>
                <w:lang w:val="en-GB"/>
              </w:rPr>
            </w:pPr>
            <w:r w:rsidRPr="003C21A5">
              <w:rPr>
                <w:rFonts w:ascii="Calibri" w:hAnsi="Calibri"/>
                <w:sz w:val="22"/>
                <w:szCs w:val="18"/>
              </w:rPr>
              <w:t>PFM</w:t>
            </w:r>
          </w:p>
        </w:tc>
        <w:tc>
          <w:tcPr>
            <w:tcW w:w="7217" w:type="dxa"/>
          </w:tcPr>
          <w:p w14:paraId="666562F0" w14:textId="3CFBF4E5" w:rsidR="00FA0C21" w:rsidRPr="003C21A5" w:rsidRDefault="00FA0C21" w:rsidP="005B2ABE">
            <w:pPr>
              <w:rPr>
                <w:rFonts w:ascii="Calibri" w:hAnsi="Calibri"/>
                <w:sz w:val="22"/>
                <w:szCs w:val="18"/>
                <w:lang w:val="en-GB"/>
              </w:rPr>
            </w:pPr>
            <w:r w:rsidRPr="003C21A5">
              <w:rPr>
                <w:rFonts w:ascii="Calibri" w:hAnsi="Calibri"/>
                <w:sz w:val="22"/>
                <w:szCs w:val="18"/>
                <w:lang w:val="en-GB"/>
              </w:rPr>
              <w:t>Public Financial Management</w:t>
            </w:r>
          </w:p>
        </w:tc>
      </w:tr>
      <w:tr w:rsidR="00FA0C21" w:rsidRPr="003C21A5" w14:paraId="3DBB829B" w14:textId="77777777" w:rsidTr="00374CC9">
        <w:tc>
          <w:tcPr>
            <w:tcW w:w="1560" w:type="dxa"/>
          </w:tcPr>
          <w:p w14:paraId="61687143" w14:textId="77777777" w:rsidR="00FA0C21" w:rsidRPr="003C21A5" w:rsidRDefault="00FA0C21" w:rsidP="005B2ABE">
            <w:pPr>
              <w:rPr>
                <w:rFonts w:ascii="Calibri" w:hAnsi="Calibri"/>
                <w:sz w:val="22"/>
                <w:szCs w:val="18"/>
                <w:lang w:val="en-GB"/>
              </w:rPr>
            </w:pPr>
            <w:r w:rsidRPr="003C21A5">
              <w:rPr>
                <w:rFonts w:ascii="Calibri" w:eastAsia="Times New Roman" w:hAnsi="Calibri"/>
                <w:color w:val="000000"/>
                <w:sz w:val="22"/>
                <w:szCs w:val="18"/>
                <w:lang w:val="en-GB" w:eastAsia="en-GB"/>
              </w:rPr>
              <w:t>PICGD</w:t>
            </w:r>
          </w:p>
        </w:tc>
        <w:tc>
          <w:tcPr>
            <w:tcW w:w="7217" w:type="dxa"/>
          </w:tcPr>
          <w:p w14:paraId="7ECDF1A0"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Programs Implementation and  Coordination General Directorate</w:t>
            </w:r>
          </w:p>
        </w:tc>
      </w:tr>
      <w:tr w:rsidR="00FA0C21" w:rsidRPr="003C21A5" w14:paraId="3704C378" w14:textId="77777777" w:rsidTr="00374CC9">
        <w:tc>
          <w:tcPr>
            <w:tcW w:w="1560" w:type="dxa"/>
          </w:tcPr>
          <w:p w14:paraId="5D8E5B55" w14:textId="77777777" w:rsidR="00FA0C21" w:rsidRPr="003C21A5" w:rsidRDefault="00FA0C21" w:rsidP="005B2ABE">
            <w:pPr>
              <w:rPr>
                <w:rFonts w:ascii="Calibri" w:hAnsi="Calibri"/>
                <w:sz w:val="22"/>
                <w:szCs w:val="18"/>
                <w:lang w:val="en-GB"/>
              </w:rPr>
            </w:pPr>
            <w:r w:rsidRPr="003C21A5">
              <w:rPr>
                <w:rFonts w:ascii="Calibri" w:hAnsi="Calibri"/>
                <w:sz w:val="22"/>
                <w:szCs w:val="18"/>
              </w:rPr>
              <w:t>PMT</w:t>
            </w:r>
          </w:p>
        </w:tc>
        <w:tc>
          <w:tcPr>
            <w:tcW w:w="7217" w:type="dxa"/>
          </w:tcPr>
          <w:p w14:paraId="3952C2B7" w14:textId="77777777" w:rsidR="00FA0C21" w:rsidRPr="003C21A5" w:rsidRDefault="00FA0C21" w:rsidP="005B2ABE">
            <w:pPr>
              <w:rPr>
                <w:rFonts w:ascii="Calibri" w:hAnsi="Calibri"/>
                <w:sz w:val="22"/>
                <w:szCs w:val="18"/>
                <w:lang w:val="en-GB"/>
              </w:rPr>
            </w:pPr>
            <w:r w:rsidRPr="003C21A5">
              <w:rPr>
                <w:rFonts w:ascii="Calibri" w:hAnsi="Calibri"/>
                <w:sz w:val="22"/>
                <w:szCs w:val="18"/>
              </w:rPr>
              <w:t>Performance Management Team</w:t>
            </w:r>
          </w:p>
        </w:tc>
      </w:tr>
      <w:tr w:rsidR="00FA0C21" w:rsidRPr="003C21A5" w14:paraId="05A035B9" w14:textId="77777777" w:rsidTr="00374CC9">
        <w:tc>
          <w:tcPr>
            <w:tcW w:w="1560" w:type="dxa"/>
          </w:tcPr>
          <w:p w14:paraId="4CCB9607"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RD</w:t>
            </w:r>
          </w:p>
        </w:tc>
        <w:tc>
          <w:tcPr>
            <w:tcW w:w="7217" w:type="dxa"/>
          </w:tcPr>
          <w:p w14:paraId="394776AA"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Revenues Department</w:t>
            </w:r>
          </w:p>
        </w:tc>
      </w:tr>
      <w:tr w:rsidR="00FA0C21" w:rsidRPr="003C21A5" w14:paraId="5B8DF6BD" w14:textId="77777777" w:rsidTr="00374CC9">
        <w:tc>
          <w:tcPr>
            <w:tcW w:w="1560" w:type="dxa"/>
          </w:tcPr>
          <w:p w14:paraId="6E39A523"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RIMU</w:t>
            </w:r>
          </w:p>
        </w:tc>
        <w:tc>
          <w:tcPr>
            <w:tcW w:w="7217" w:type="dxa"/>
          </w:tcPr>
          <w:p w14:paraId="348132FD"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Reform Implementation Management Unit</w:t>
            </w:r>
          </w:p>
        </w:tc>
      </w:tr>
      <w:tr w:rsidR="00FA0C21" w:rsidRPr="003C21A5" w14:paraId="02B678C3" w14:textId="77777777" w:rsidTr="00374CC9">
        <w:tc>
          <w:tcPr>
            <w:tcW w:w="1560" w:type="dxa"/>
          </w:tcPr>
          <w:p w14:paraId="703FA0E6"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RPD</w:t>
            </w:r>
          </w:p>
        </w:tc>
        <w:tc>
          <w:tcPr>
            <w:tcW w:w="7217" w:type="dxa"/>
          </w:tcPr>
          <w:p w14:paraId="540C9B81"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Revenue Planning Department</w:t>
            </w:r>
          </w:p>
        </w:tc>
      </w:tr>
      <w:tr w:rsidR="00FA0C21" w:rsidRPr="003C21A5" w14:paraId="27A1B9BD" w14:textId="77777777" w:rsidTr="00374CC9">
        <w:tc>
          <w:tcPr>
            <w:tcW w:w="1560" w:type="dxa"/>
          </w:tcPr>
          <w:p w14:paraId="2D437C99" w14:textId="77777777" w:rsidR="00FA0C21" w:rsidRPr="003C21A5" w:rsidRDefault="00FA0C21" w:rsidP="005B2ABE">
            <w:pPr>
              <w:rPr>
                <w:rFonts w:ascii="Calibri" w:hAnsi="Calibri"/>
                <w:sz w:val="22"/>
                <w:szCs w:val="18"/>
                <w:lang w:val="en-GB"/>
              </w:rPr>
            </w:pPr>
            <w:r w:rsidRPr="003C21A5">
              <w:rPr>
                <w:rFonts w:ascii="Calibri" w:hAnsi="Calibri"/>
                <w:sz w:val="22"/>
                <w:szCs w:val="18"/>
              </w:rPr>
              <w:t>SABII</w:t>
            </w:r>
          </w:p>
        </w:tc>
        <w:tc>
          <w:tcPr>
            <w:tcW w:w="7217" w:type="dxa"/>
          </w:tcPr>
          <w:p w14:paraId="110FD66C" w14:textId="0620E5BD" w:rsidR="00FA0C21" w:rsidRPr="003C21A5" w:rsidRDefault="003C21A5" w:rsidP="005B2ABE">
            <w:pPr>
              <w:rPr>
                <w:rFonts w:ascii="Calibri" w:hAnsi="Calibri"/>
                <w:sz w:val="22"/>
                <w:szCs w:val="18"/>
                <w:lang w:val="en-GB"/>
              </w:rPr>
            </w:pPr>
            <w:r w:rsidRPr="003C21A5">
              <w:rPr>
                <w:rFonts w:ascii="Calibri" w:hAnsi="Calibri"/>
                <w:sz w:val="22"/>
                <w:szCs w:val="18"/>
                <w:lang w:val="en-GB"/>
              </w:rPr>
              <w:t>Strengthening Afghanistan’s Budget II</w:t>
            </w:r>
          </w:p>
        </w:tc>
      </w:tr>
      <w:tr w:rsidR="00FA0C21" w:rsidRPr="003C21A5" w14:paraId="2D7632E2" w14:textId="77777777" w:rsidTr="00374CC9">
        <w:tc>
          <w:tcPr>
            <w:tcW w:w="1560" w:type="dxa"/>
          </w:tcPr>
          <w:p w14:paraId="025F4C99" w14:textId="77777777" w:rsidR="00FA0C21" w:rsidRPr="003C21A5" w:rsidRDefault="00FA0C21" w:rsidP="005B2ABE">
            <w:pPr>
              <w:rPr>
                <w:rFonts w:ascii="Calibri" w:hAnsi="Calibri"/>
                <w:sz w:val="22"/>
                <w:szCs w:val="18"/>
                <w:lang w:val="en-GB"/>
              </w:rPr>
            </w:pPr>
            <w:r w:rsidRPr="003C21A5">
              <w:rPr>
                <w:rFonts w:ascii="Calibri" w:hAnsi="Calibri"/>
                <w:sz w:val="22"/>
                <w:szCs w:val="18"/>
              </w:rPr>
              <w:t>SAO</w:t>
            </w:r>
          </w:p>
        </w:tc>
        <w:tc>
          <w:tcPr>
            <w:tcW w:w="7217" w:type="dxa"/>
          </w:tcPr>
          <w:p w14:paraId="1D0A4142" w14:textId="77777777" w:rsidR="00FA0C21" w:rsidRPr="003C21A5" w:rsidRDefault="00FA0C21" w:rsidP="005B2ABE">
            <w:pPr>
              <w:rPr>
                <w:rFonts w:ascii="Calibri" w:hAnsi="Calibri"/>
                <w:sz w:val="22"/>
                <w:szCs w:val="18"/>
                <w:lang w:val="en-GB"/>
              </w:rPr>
            </w:pPr>
            <w:r w:rsidRPr="003C21A5">
              <w:rPr>
                <w:rFonts w:ascii="Calibri" w:hAnsi="Calibri"/>
                <w:sz w:val="22"/>
                <w:szCs w:val="18"/>
              </w:rPr>
              <w:t>Supreme Audit Office</w:t>
            </w:r>
          </w:p>
        </w:tc>
      </w:tr>
      <w:tr w:rsidR="00FA0C21" w:rsidRPr="003C21A5" w14:paraId="37414A0B" w14:textId="77777777" w:rsidTr="00374CC9">
        <w:tc>
          <w:tcPr>
            <w:tcW w:w="1560" w:type="dxa"/>
          </w:tcPr>
          <w:p w14:paraId="2A8AD188"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SD</w:t>
            </w:r>
          </w:p>
        </w:tc>
        <w:tc>
          <w:tcPr>
            <w:tcW w:w="7217" w:type="dxa"/>
          </w:tcPr>
          <w:p w14:paraId="2A95288C"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SOE Department</w:t>
            </w:r>
          </w:p>
        </w:tc>
      </w:tr>
      <w:tr w:rsidR="00FA0C21" w:rsidRPr="003C21A5" w14:paraId="112EE09C" w14:textId="77777777" w:rsidTr="00374CC9">
        <w:tc>
          <w:tcPr>
            <w:tcW w:w="1560" w:type="dxa"/>
          </w:tcPr>
          <w:p w14:paraId="5EC250E6" w14:textId="77777777" w:rsidR="00FA0C21" w:rsidRPr="003C21A5" w:rsidRDefault="00FA0C21" w:rsidP="005B2ABE">
            <w:pPr>
              <w:rPr>
                <w:rFonts w:ascii="Calibri" w:hAnsi="Calibri"/>
                <w:sz w:val="22"/>
                <w:szCs w:val="18"/>
                <w:lang w:val="en-GB"/>
              </w:rPr>
            </w:pPr>
            <w:r w:rsidRPr="003C21A5">
              <w:rPr>
                <w:rFonts w:ascii="Calibri" w:hAnsi="Calibri"/>
                <w:sz w:val="22"/>
                <w:szCs w:val="18"/>
              </w:rPr>
              <w:t>TA</w:t>
            </w:r>
          </w:p>
        </w:tc>
        <w:tc>
          <w:tcPr>
            <w:tcW w:w="7217" w:type="dxa"/>
          </w:tcPr>
          <w:p w14:paraId="5FA67DA4" w14:textId="6299F0DA" w:rsidR="00FA0C21" w:rsidRPr="003C21A5" w:rsidRDefault="003C21A5" w:rsidP="005B2ABE">
            <w:pPr>
              <w:rPr>
                <w:rFonts w:ascii="Calibri" w:hAnsi="Calibri"/>
                <w:sz w:val="22"/>
                <w:szCs w:val="18"/>
                <w:lang w:val="en-GB"/>
              </w:rPr>
            </w:pPr>
            <w:r w:rsidRPr="003C21A5">
              <w:rPr>
                <w:rFonts w:ascii="Calibri" w:hAnsi="Calibri"/>
                <w:sz w:val="22"/>
                <w:szCs w:val="18"/>
                <w:lang w:val="en-GB"/>
              </w:rPr>
              <w:t>Technical Assistance</w:t>
            </w:r>
          </w:p>
        </w:tc>
      </w:tr>
      <w:tr w:rsidR="00FA0C21" w:rsidRPr="003C21A5" w14:paraId="42569F44" w14:textId="77777777" w:rsidTr="00374CC9">
        <w:tc>
          <w:tcPr>
            <w:tcW w:w="1560" w:type="dxa"/>
          </w:tcPr>
          <w:p w14:paraId="4E6B86F4"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TD</w:t>
            </w:r>
          </w:p>
        </w:tc>
        <w:tc>
          <w:tcPr>
            <w:tcW w:w="7217" w:type="dxa"/>
          </w:tcPr>
          <w:p w14:paraId="0E252705" w14:textId="77777777" w:rsidR="00FA0C21" w:rsidRPr="003C21A5" w:rsidRDefault="00FA0C21" w:rsidP="005B2ABE">
            <w:pPr>
              <w:rPr>
                <w:rFonts w:ascii="Calibri" w:hAnsi="Calibri"/>
                <w:sz w:val="22"/>
                <w:szCs w:val="18"/>
                <w:lang w:val="en-GB"/>
              </w:rPr>
            </w:pPr>
            <w:r w:rsidRPr="003C21A5">
              <w:rPr>
                <w:rFonts w:ascii="Calibri" w:eastAsia="Times New Roman" w:hAnsi="Calibri"/>
                <w:bCs/>
                <w:color w:val="000000"/>
                <w:sz w:val="22"/>
                <w:szCs w:val="18"/>
                <w:lang w:val="en-GB" w:eastAsia="en-GB"/>
              </w:rPr>
              <w:t>Treasury Department</w:t>
            </w:r>
          </w:p>
        </w:tc>
      </w:tr>
      <w:tr w:rsidR="00FA0C21" w:rsidRPr="003C21A5" w14:paraId="7439FDB3" w14:textId="77777777" w:rsidTr="00374CC9">
        <w:tc>
          <w:tcPr>
            <w:tcW w:w="1560" w:type="dxa"/>
          </w:tcPr>
          <w:p w14:paraId="1028D33D" w14:textId="77777777" w:rsidR="00FA0C21" w:rsidRPr="003C21A5" w:rsidRDefault="00FA0C21" w:rsidP="005B2ABE">
            <w:pPr>
              <w:rPr>
                <w:rFonts w:ascii="Calibri" w:hAnsi="Calibri"/>
                <w:sz w:val="22"/>
                <w:szCs w:val="18"/>
                <w:lang w:val="en-GB"/>
              </w:rPr>
            </w:pPr>
            <w:r w:rsidRPr="003C21A5">
              <w:rPr>
                <w:rFonts w:ascii="Calibri" w:hAnsi="Calibri"/>
                <w:sz w:val="22"/>
                <w:szCs w:val="18"/>
              </w:rPr>
              <w:t>UNDP</w:t>
            </w:r>
          </w:p>
        </w:tc>
        <w:tc>
          <w:tcPr>
            <w:tcW w:w="7217" w:type="dxa"/>
          </w:tcPr>
          <w:p w14:paraId="093C9558" w14:textId="249CD2B9" w:rsidR="00FA0C21" w:rsidRPr="003C21A5" w:rsidRDefault="003C21A5" w:rsidP="005B2ABE">
            <w:pPr>
              <w:rPr>
                <w:rFonts w:ascii="Calibri" w:hAnsi="Calibri"/>
                <w:sz w:val="22"/>
                <w:szCs w:val="18"/>
                <w:lang w:val="en-GB"/>
              </w:rPr>
            </w:pPr>
            <w:r w:rsidRPr="003C21A5">
              <w:rPr>
                <w:rFonts w:ascii="Calibri" w:hAnsi="Calibri"/>
                <w:sz w:val="22"/>
                <w:szCs w:val="18"/>
                <w:lang w:val="en-GB"/>
              </w:rPr>
              <w:t>United National Development Program</w:t>
            </w:r>
          </w:p>
        </w:tc>
      </w:tr>
      <w:tr w:rsidR="00FA0C21" w:rsidRPr="003C21A5" w14:paraId="47EA2FA7" w14:textId="77777777" w:rsidTr="00374CC9">
        <w:tc>
          <w:tcPr>
            <w:tcW w:w="1560" w:type="dxa"/>
          </w:tcPr>
          <w:p w14:paraId="6FC6A6B9" w14:textId="77777777" w:rsidR="00FA0C21" w:rsidRPr="003C21A5" w:rsidRDefault="00FA0C21" w:rsidP="005B2ABE">
            <w:pPr>
              <w:rPr>
                <w:rFonts w:ascii="Calibri" w:hAnsi="Calibri"/>
                <w:sz w:val="22"/>
                <w:szCs w:val="18"/>
                <w:lang w:val="en-GB"/>
              </w:rPr>
            </w:pPr>
            <w:r w:rsidRPr="003C21A5">
              <w:rPr>
                <w:rFonts w:ascii="Calibri" w:hAnsi="Calibri"/>
                <w:sz w:val="22"/>
                <w:szCs w:val="18"/>
                <w:lang w:val="en-GB"/>
              </w:rPr>
              <w:t>US$</w:t>
            </w:r>
          </w:p>
        </w:tc>
        <w:tc>
          <w:tcPr>
            <w:tcW w:w="7217" w:type="dxa"/>
          </w:tcPr>
          <w:p w14:paraId="32F6FA39" w14:textId="0857D565" w:rsidR="00FA0C21" w:rsidRPr="003C21A5" w:rsidRDefault="003C21A5" w:rsidP="005B2ABE">
            <w:pPr>
              <w:rPr>
                <w:rFonts w:ascii="Calibri" w:hAnsi="Calibri"/>
                <w:sz w:val="22"/>
                <w:szCs w:val="18"/>
                <w:lang w:val="en-GB"/>
              </w:rPr>
            </w:pPr>
            <w:r w:rsidRPr="003C21A5">
              <w:rPr>
                <w:rFonts w:ascii="Calibri" w:hAnsi="Calibri"/>
                <w:sz w:val="22"/>
                <w:szCs w:val="18"/>
                <w:lang w:val="en-GB"/>
              </w:rPr>
              <w:t>United States Dollar</w:t>
            </w:r>
          </w:p>
        </w:tc>
      </w:tr>
      <w:tr w:rsidR="00FA0C21" w:rsidRPr="003C21A5" w14:paraId="0E54D9C2" w14:textId="77777777" w:rsidTr="00374CC9">
        <w:tc>
          <w:tcPr>
            <w:tcW w:w="1560" w:type="dxa"/>
          </w:tcPr>
          <w:p w14:paraId="7E32F66D" w14:textId="77777777" w:rsidR="00FA0C21" w:rsidRPr="003C21A5" w:rsidRDefault="00FA0C21" w:rsidP="005B2ABE">
            <w:pPr>
              <w:rPr>
                <w:rFonts w:ascii="Calibri" w:hAnsi="Calibri"/>
                <w:sz w:val="22"/>
                <w:szCs w:val="18"/>
                <w:lang w:val="en-GB"/>
              </w:rPr>
            </w:pPr>
            <w:r w:rsidRPr="003C21A5">
              <w:rPr>
                <w:rFonts w:ascii="Calibri" w:hAnsi="Calibri"/>
                <w:sz w:val="22"/>
                <w:szCs w:val="18"/>
              </w:rPr>
              <w:t>USAID</w:t>
            </w:r>
          </w:p>
        </w:tc>
        <w:tc>
          <w:tcPr>
            <w:tcW w:w="7217" w:type="dxa"/>
          </w:tcPr>
          <w:p w14:paraId="0424AEDC" w14:textId="050026E4" w:rsidR="00FA0C21" w:rsidRPr="003C21A5" w:rsidRDefault="003C21A5" w:rsidP="005B2ABE">
            <w:pPr>
              <w:rPr>
                <w:rFonts w:ascii="Calibri" w:hAnsi="Calibri"/>
                <w:sz w:val="22"/>
                <w:szCs w:val="18"/>
                <w:lang w:val="en-GB"/>
              </w:rPr>
            </w:pPr>
            <w:r w:rsidRPr="003C21A5">
              <w:rPr>
                <w:rFonts w:ascii="Calibri" w:hAnsi="Calibri"/>
                <w:sz w:val="22"/>
                <w:szCs w:val="18"/>
                <w:lang w:val="en-GB"/>
              </w:rPr>
              <w:t>United States Agency for International Development</w:t>
            </w:r>
          </w:p>
        </w:tc>
      </w:tr>
    </w:tbl>
    <w:p w14:paraId="0B4365C5" w14:textId="77777777" w:rsidR="003549FF" w:rsidRDefault="003549FF" w:rsidP="00F76C5B">
      <w:pPr>
        <w:rPr>
          <w:rFonts w:asciiTheme="minorHAnsi" w:hAnsiTheme="minorHAnsi"/>
          <w:i/>
          <w:sz w:val="20"/>
          <w:lang w:val="en-GB"/>
        </w:rPr>
      </w:pPr>
    </w:p>
    <w:p w14:paraId="1D16B262" w14:textId="2FB614D8" w:rsidR="00C675A2" w:rsidRDefault="00207EDC" w:rsidP="00F76C5B">
      <w:pPr>
        <w:rPr>
          <w:lang w:val="en-GB"/>
        </w:rPr>
      </w:pPr>
      <w:r w:rsidRPr="003549FF">
        <w:rPr>
          <w:rFonts w:asciiTheme="minorHAnsi" w:hAnsiTheme="minorHAnsi"/>
          <w:i/>
          <w:sz w:val="20"/>
          <w:lang w:val="en-GB"/>
        </w:rPr>
        <w:t xml:space="preserve">For PEFA related terms please refer to PEFA Guidance. </w:t>
      </w:r>
    </w:p>
    <w:p w14:paraId="6053EA0B" w14:textId="77777777" w:rsidR="00C675A2" w:rsidRPr="00FE5C2E" w:rsidRDefault="00C675A2" w:rsidP="00F76C5B">
      <w:pPr>
        <w:rPr>
          <w:lang w:val="en-GB"/>
        </w:rPr>
      </w:pPr>
    </w:p>
    <w:p w14:paraId="528B9E12" w14:textId="77777777" w:rsidR="00F76C5B" w:rsidRPr="00FE5C2E" w:rsidRDefault="00F76C5B">
      <w:pPr>
        <w:rPr>
          <w:lang w:val="en-GB"/>
        </w:rPr>
      </w:pPr>
      <w:r w:rsidRPr="00FE5C2E">
        <w:rPr>
          <w:lang w:val="en-GB"/>
        </w:rPr>
        <w:br w:type="page"/>
      </w:r>
    </w:p>
    <w:p w14:paraId="513C0376" w14:textId="77777777" w:rsidR="00F76C5B" w:rsidRPr="00FE5C2E" w:rsidRDefault="00F76C5B">
      <w:pPr>
        <w:rPr>
          <w:lang w:val="en-GB"/>
        </w:rPr>
        <w:sectPr w:rsidR="00F76C5B" w:rsidRPr="00FE5C2E" w:rsidSect="00004C5E">
          <w:footerReference w:type="first" r:id="rId19"/>
          <w:pgSz w:w="11900" w:h="16840" w:code="9"/>
          <w:pgMar w:top="1135" w:right="1800" w:bottom="709" w:left="1800" w:header="720" w:footer="720" w:gutter="0"/>
          <w:pgNumType w:fmt="lowerRoman" w:start="1"/>
          <w:cols w:space="720"/>
          <w:titlePg/>
          <w:docGrid w:linePitch="360"/>
          <w:printerSettings r:id="rId20"/>
        </w:sectPr>
      </w:pPr>
    </w:p>
    <w:p w14:paraId="26DC44D7" w14:textId="7E945E7E" w:rsidR="008028FA" w:rsidRDefault="00133C47" w:rsidP="009C10F9">
      <w:pPr>
        <w:pStyle w:val="Heading1"/>
        <w:rPr>
          <w:rStyle w:val="Emphasis"/>
        </w:rPr>
      </w:pPr>
      <w:bookmarkStart w:id="1" w:name="_Toc430330620"/>
      <w:bookmarkStart w:id="2" w:name="_Toc457162616"/>
      <w:r w:rsidRPr="00DE09EF">
        <w:rPr>
          <w:rStyle w:val="Emphasis"/>
        </w:rPr>
        <w:lastRenderedPageBreak/>
        <w:t>Executive Summary</w:t>
      </w:r>
      <w:bookmarkEnd w:id="1"/>
      <w:bookmarkEnd w:id="2"/>
    </w:p>
    <w:p w14:paraId="3DF1AB41" w14:textId="43A0DE69" w:rsidR="009C10F9" w:rsidRPr="00384004" w:rsidRDefault="009C10F9" w:rsidP="00E9748A">
      <w:pPr>
        <w:pStyle w:val="Numberedpara"/>
      </w:pPr>
      <w:r w:rsidRPr="007A5BF2">
        <w:rPr>
          <w:b/>
        </w:rPr>
        <w:t xml:space="preserve">This is the inaugural </w:t>
      </w:r>
      <w:r w:rsidR="008D40FF" w:rsidRPr="007A5BF2">
        <w:rPr>
          <w:b/>
        </w:rPr>
        <w:t>5-year</w:t>
      </w:r>
      <w:r w:rsidRPr="007A5BF2">
        <w:rPr>
          <w:b/>
        </w:rPr>
        <w:t xml:space="preserve"> rolling Fiscal Performance Improvement Plan by the Governme</w:t>
      </w:r>
      <w:r w:rsidR="00924E5A" w:rsidRPr="007A5BF2">
        <w:rPr>
          <w:b/>
        </w:rPr>
        <w:t>nt of Afghanistan.</w:t>
      </w:r>
      <w:r w:rsidR="00924E5A">
        <w:t xml:space="preserve"> It is</w:t>
      </w:r>
      <w:r w:rsidRPr="00384004">
        <w:t xml:space="preserve"> the vehicle for the implementation of the Public Finance Management Roadmap I</w:t>
      </w:r>
      <w:r w:rsidR="007A5BF2">
        <w:t>I and presents a sequenced team-</w:t>
      </w:r>
      <w:r w:rsidR="00D90BED">
        <w:t>based plan</w:t>
      </w:r>
      <w:r w:rsidR="007A5BF2">
        <w:t xml:space="preserve"> within a performance</w:t>
      </w:r>
      <w:r w:rsidRPr="00384004">
        <w:t xml:space="preserve"> management framework. </w:t>
      </w:r>
    </w:p>
    <w:p w14:paraId="27947FE8" w14:textId="284A655F" w:rsidR="009C10F9" w:rsidRDefault="009C10F9" w:rsidP="00384004">
      <w:pPr>
        <w:pStyle w:val="Numberedpara"/>
      </w:pPr>
      <w:r w:rsidRPr="00D90BED">
        <w:rPr>
          <w:b/>
        </w:rPr>
        <w:t>The development of this plan has been a Government driven process with a high degree of ownership over the proposed reforms.</w:t>
      </w:r>
      <w:r w:rsidR="00716C46">
        <w:rPr>
          <w:rStyle w:val="FootnoteReference"/>
          <w:b/>
        </w:rPr>
        <w:footnoteReference w:id="1"/>
      </w:r>
      <w:r w:rsidR="000D04D3">
        <w:t xml:space="preserve"> The Government recogniz</w:t>
      </w:r>
      <w:r w:rsidRPr="00384004">
        <w:t>es that improvement in fiscal planning and man</w:t>
      </w:r>
      <w:r w:rsidR="00924E5A">
        <w:t>agement is crucial for the long-</w:t>
      </w:r>
      <w:r w:rsidRPr="00384004">
        <w:t>term development of Afghanistan. This plan covers the full spectrum of reforms, from developing a fiscal policy f</w:t>
      </w:r>
      <w:r w:rsidR="007A5BF2">
        <w:t>ramework to guide the budget, analysis of</w:t>
      </w:r>
      <w:r w:rsidRPr="00384004">
        <w:t xml:space="preserve"> fiscal space, adopting a medium term</w:t>
      </w:r>
      <w:r w:rsidR="007A5BF2">
        <w:t xml:space="preserve"> expenditure framework with</w:t>
      </w:r>
      <w:r w:rsidRPr="00384004">
        <w:t xml:space="preserve"> a c</w:t>
      </w:r>
      <w:r w:rsidR="00924E5A">
        <w:t xml:space="preserve">onsolidated national budget, </w:t>
      </w:r>
      <w:r w:rsidRPr="00384004">
        <w:t>improved cash management and commitment controls, with upgraded systems that integrate procurement, contract man</w:t>
      </w:r>
      <w:r w:rsidR="007A5BF2">
        <w:t xml:space="preserve">agement and cash management, and </w:t>
      </w:r>
      <w:r w:rsidRPr="00384004">
        <w:t xml:space="preserve">improved reporting and audit of </w:t>
      </w:r>
      <w:r w:rsidR="00384004">
        <w:t>public expenditure.</w:t>
      </w:r>
    </w:p>
    <w:p w14:paraId="68DAA451" w14:textId="4AB196C0" w:rsidR="00314E60" w:rsidRDefault="000D04D3" w:rsidP="00314E60">
      <w:pPr>
        <w:pStyle w:val="Numberedpara"/>
      </w:pPr>
      <w:r>
        <w:rPr>
          <w:b/>
        </w:rPr>
        <w:t>The plan is starting</w:t>
      </w:r>
      <w:r w:rsidR="00314E60" w:rsidRPr="00D90BED">
        <w:rPr>
          <w:b/>
        </w:rPr>
        <w:t xml:space="preserve"> with the core departments managing public financial management in the </w:t>
      </w:r>
      <w:r w:rsidR="00D90BED">
        <w:rPr>
          <w:b/>
        </w:rPr>
        <w:t>Ministry of Finance</w:t>
      </w:r>
      <w:r w:rsidR="007A5BF2" w:rsidRPr="00D90BED">
        <w:rPr>
          <w:b/>
        </w:rPr>
        <w:t xml:space="preserve"> </w:t>
      </w:r>
      <w:r w:rsidR="00740D07">
        <w:rPr>
          <w:b/>
        </w:rPr>
        <w:t xml:space="preserve">(MOF) </w:t>
      </w:r>
      <w:r w:rsidR="007A5BF2" w:rsidRPr="00D90BED">
        <w:rPr>
          <w:b/>
        </w:rPr>
        <w:t xml:space="preserve">and </w:t>
      </w:r>
      <w:r w:rsidR="00314E60" w:rsidRPr="00D90BED">
        <w:rPr>
          <w:b/>
        </w:rPr>
        <w:t xml:space="preserve">two external </w:t>
      </w:r>
      <w:r w:rsidR="007A5BF2" w:rsidRPr="00D90BED">
        <w:rPr>
          <w:b/>
        </w:rPr>
        <w:t>agencies, AEITI and the National Pr</w:t>
      </w:r>
      <w:r w:rsidR="00314E60" w:rsidRPr="00D90BED">
        <w:rPr>
          <w:b/>
        </w:rPr>
        <w:t>ocure</w:t>
      </w:r>
      <w:r w:rsidR="007A5BF2" w:rsidRPr="00D90BED">
        <w:rPr>
          <w:b/>
        </w:rPr>
        <w:t>ment Authority</w:t>
      </w:r>
      <w:r w:rsidR="00314E60" w:rsidRPr="00D90BED">
        <w:rPr>
          <w:b/>
        </w:rPr>
        <w:t>.</w:t>
      </w:r>
      <w:r w:rsidR="00314E60">
        <w:t xml:space="preserve"> Over the next 12 </w:t>
      </w:r>
      <w:r w:rsidR="00774D69">
        <w:t>months,</w:t>
      </w:r>
      <w:r w:rsidR="007A5BF2">
        <w:t xml:space="preserve"> the plan will incorporate</w:t>
      </w:r>
      <w:r w:rsidR="00314E60">
        <w:t xml:space="preserve"> other key agencies such as the Supreme Audit Office, the Central Statistics Office and </w:t>
      </w:r>
      <w:r w:rsidR="00716C46">
        <w:t xml:space="preserve">the </w:t>
      </w:r>
      <w:r w:rsidR="00314E60">
        <w:t>I</w:t>
      </w:r>
      <w:r w:rsidR="007A5BF2">
        <w:t xml:space="preserve">ndependent </w:t>
      </w:r>
      <w:r w:rsidR="00314E60">
        <w:t>D</w:t>
      </w:r>
      <w:r w:rsidR="007A5BF2">
        <w:t xml:space="preserve">irectorate for </w:t>
      </w:r>
      <w:r w:rsidR="00314E60">
        <w:t>L</w:t>
      </w:r>
      <w:r w:rsidR="007A5BF2">
        <w:t>ocal Governan</w:t>
      </w:r>
      <w:r w:rsidR="00D90BED">
        <w:t>ce</w:t>
      </w:r>
      <w:r w:rsidR="00314E60">
        <w:t xml:space="preserve">. </w:t>
      </w:r>
      <w:r>
        <w:t>The performance management framework will include k</w:t>
      </w:r>
      <w:r w:rsidR="00774D69">
        <w:t>ey line m</w:t>
      </w:r>
      <w:r>
        <w:t>inistries from</w:t>
      </w:r>
      <w:r w:rsidR="00774D69">
        <w:t xml:space="preserve"> 2017 </w:t>
      </w:r>
      <w:r w:rsidR="00314E60">
        <w:t>with a focus on budget planning, execution and reporting.</w:t>
      </w:r>
    </w:p>
    <w:p w14:paraId="514F04F5" w14:textId="05E553FA" w:rsidR="001A6F6F" w:rsidRPr="00836B8D" w:rsidRDefault="007A5BF2" w:rsidP="00836B8D">
      <w:pPr>
        <w:pStyle w:val="Numberedpara"/>
      </w:pPr>
      <w:r w:rsidRPr="00D90BED">
        <w:rPr>
          <w:b/>
        </w:rPr>
        <w:t>This plan recognises that the</w:t>
      </w:r>
      <w:r w:rsidR="009C10F9" w:rsidRPr="00D90BED">
        <w:rPr>
          <w:b/>
        </w:rPr>
        <w:t xml:space="preserve"> challenge</w:t>
      </w:r>
      <w:r w:rsidRPr="00D90BED">
        <w:rPr>
          <w:b/>
        </w:rPr>
        <w:t>s</w:t>
      </w:r>
      <w:r w:rsidR="009C10F9" w:rsidRPr="00D90BED">
        <w:rPr>
          <w:b/>
        </w:rPr>
        <w:t xml:space="preserve"> </w:t>
      </w:r>
      <w:r w:rsidR="00D90BED" w:rsidRPr="00D90BED">
        <w:rPr>
          <w:b/>
        </w:rPr>
        <w:t>facing the Government in refor</w:t>
      </w:r>
      <w:r w:rsidRPr="00D90BED">
        <w:rPr>
          <w:b/>
        </w:rPr>
        <w:t>ming public financial management are</w:t>
      </w:r>
      <w:r w:rsidR="009C10F9" w:rsidRPr="00D90BED">
        <w:rPr>
          <w:b/>
        </w:rPr>
        <w:t xml:space="preserve"> large </w:t>
      </w:r>
      <w:r w:rsidR="00D90BED" w:rsidRPr="00D90BED">
        <w:rPr>
          <w:b/>
        </w:rPr>
        <w:t>and complex. Progress</w:t>
      </w:r>
      <w:r w:rsidR="009C10F9" w:rsidRPr="00D90BED">
        <w:rPr>
          <w:b/>
        </w:rPr>
        <w:t xml:space="preserve"> will take time and there will be set back</w:t>
      </w:r>
      <w:r w:rsidR="00147F24" w:rsidRPr="00D90BED">
        <w:rPr>
          <w:b/>
        </w:rPr>
        <w:t>s</w:t>
      </w:r>
      <w:r w:rsidR="009C10F9" w:rsidRPr="00D90BED">
        <w:rPr>
          <w:b/>
        </w:rPr>
        <w:t xml:space="preserve"> along the way.</w:t>
      </w:r>
      <w:r w:rsidR="009C10F9" w:rsidRPr="00384004">
        <w:t xml:space="preserve"> That is why this plan is set in a framework of </w:t>
      </w:r>
      <w:r w:rsidR="00774D69" w:rsidRPr="00384004">
        <w:t>5-year</w:t>
      </w:r>
      <w:r w:rsidR="009C10F9" w:rsidRPr="00384004">
        <w:t xml:space="preserve"> rolling plans. </w:t>
      </w:r>
      <w:r w:rsidR="000D04D3">
        <w:t>E</w:t>
      </w:r>
      <w:r w:rsidR="00924E5A">
        <w:t>ach year there will be a mid-</w:t>
      </w:r>
      <w:r w:rsidR="009C10F9" w:rsidRPr="00384004">
        <w:t xml:space="preserve">year assessment of progress, an annual performance assessment with a published report on results, leading to a revised </w:t>
      </w:r>
      <w:r w:rsidR="00774D69" w:rsidRPr="00384004">
        <w:t>5-year</w:t>
      </w:r>
      <w:r w:rsidR="009C10F9" w:rsidRPr="00384004">
        <w:t xml:space="preserve"> plan</w:t>
      </w:r>
      <w:r w:rsidR="00716C46">
        <w:t xml:space="preserve"> </w:t>
      </w:r>
      <w:r w:rsidR="000D04D3">
        <w:t xml:space="preserve">at the beginning of </w:t>
      </w:r>
      <w:r w:rsidR="00716C46">
        <w:t xml:space="preserve">each year. This plan </w:t>
      </w:r>
      <w:r w:rsidR="009C10F9" w:rsidRPr="00384004">
        <w:t>follows the budget cycle a</w:t>
      </w:r>
      <w:r w:rsidR="00774D69">
        <w:t>nd integrates with</w:t>
      </w:r>
      <w:r w:rsidR="009C10F9" w:rsidRPr="00384004">
        <w:t xml:space="preserve"> the Government’s established business</w:t>
      </w:r>
      <w:r w:rsidR="00384004">
        <w:t xml:space="preserve"> processes.</w:t>
      </w:r>
    </w:p>
    <w:p w14:paraId="1D1BA852" w14:textId="7FC0BE6F" w:rsidR="009C10F9" w:rsidRPr="00373C63" w:rsidRDefault="005308DA" w:rsidP="001A6F6F">
      <w:pPr>
        <w:pStyle w:val="Numberedpara"/>
        <w:numPr>
          <w:ilvl w:val="0"/>
          <w:numId w:val="0"/>
        </w:numPr>
        <w:rPr>
          <w:color w:val="FF0000"/>
        </w:rPr>
      </w:pPr>
      <w:r>
        <w:rPr>
          <w:color w:val="FF0000"/>
        </w:rPr>
        <w:t>Team-</w:t>
      </w:r>
      <w:r w:rsidR="00384004" w:rsidRPr="00373C63">
        <w:rPr>
          <w:color w:val="FF0000"/>
        </w:rPr>
        <w:t>Base</w:t>
      </w:r>
      <w:r>
        <w:rPr>
          <w:color w:val="FF0000"/>
        </w:rPr>
        <w:t>d</w:t>
      </w:r>
      <w:r w:rsidR="00384004" w:rsidRPr="00373C63">
        <w:rPr>
          <w:color w:val="FF0000"/>
        </w:rPr>
        <w:t xml:space="preserve"> Perfor</w:t>
      </w:r>
      <w:r>
        <w:rPr>
          <w:color w:val="FF0000"/>
        </w:rPr>
        <w:t>mance M</w:t>
      </w:r>
      <w:r w:rsidR="009C10F9" w:rsidRPr="00373C63">
        <w:rPr>
          <w:color w:val="FF0000"/>
        </w:rPr>
        <w:t>anagement</w:t>
      </w:r>
    </w:p>
    <w:p w14:paraId="7BF6F207" w14:textId="1C84FDFC" w:rsidR="00384004" w:rsidRPr="00384004" w:rsidRDefault="009C10F9" w:rsidP="001A6F6F">
      <w:pPr>
        <w:pStyle w:val="Numberedpara"/>
      </w:pPr>
      <w:r w:rsidRPr="00D90BED">
        <w:rPr>
          <w:b/>
        </w:rPr>
        <w:t>The Government has chosen</w:t>
      </w:r>
      <w:r w:rsidR="00314E60" w:rsidRPr="00D90BED">
        <w:rPr>
          <w:b/>
        </w:rPr>
        <w:t xml:space="preserve"> a team-</w:t>
      </w:r>
      <w:r w:rsidRPr="00D90BED">
        <w:rPr>
          <w:b/>
        </w:rPr>
        <w:t>based performance management framework because</w:t>
      </w:r>
      <w:r w:rsidR="00774D69" w:rsidRPr="00D90BED">
        <w:rPr>
          <w:b/>
        </w:rPr>
        <w:t xml:space="preserve"> we believe that teams are the engine room of Government policy.</w:t>
      </w:r>
      <w:r w:rsidR="000D04D3">
        <w:t xml:space="preserve"> B</w:t>
      </w:r>
      <w:r w:rsidR="00147F24">
        <w:t xml:space="preserve">uilding up </w:t>
      </w:r>
      <w:r w:rsidRPr="00384004">
        <w:t>the capacit</w:t>
      </w:r>
      <w:r w:rsidR="00314E60">
        <w:t>y of</w:t>
      </w:r>
      <w:r w:rsidR="001A6F6F">
        <w:t xml:space="preserve"> team</w:t>
      </w:r>
      <w:r w:rsidR="00314E60">
        <w:t>s</w:t>
      </w:r>
      <w:r w:rsidR="001A6F6F">
        <w:t xml:space="preserve"> through </w:t>
      </w:r>
      <w:r w:rsidR="00D90BED">
        <w:t xml:space="preserve">genuine </w:t>
      </w:r>
      <w:r w:rsidR="001A6F6F">
        <w:t>perform</w:t>
      </w:r>
      <w:r w:rsidRPr="00384004">
        <w:t>anc</w:t>
      </w:r>
      <w:r w:rsidR="000D04D3">
        <w:t>e management will</w:t>
      </w:r>
      <w:r w:rsidR="001A6F6F">
        <w:t xml:space="preserve"> maxim</w:t>
      </w:r>
      <w:r w:rsidR="000D04D3">
        <w:t>ise</w:t>
      </w:r>
      <w:r w:rsidRPr="00384004">
        <w:t xml:space="preserve"> return</w:t>
      </w:r>
      <w:r w:rsidR="000D04D3">
        <w:t>s for</w:t>
      </w:r>
      <w:r w:rsidR="00D90BED">
        <w:t xml:space="preserve"> </w:t>
      </w:r>
      <w:r w:rsidRPr="00384004">
        <w:t>reform inv</w:t>
      </w:r>
      <w:r w:rsidR="000D04D3">
        <w:t>estments. This framework is</w:t>
      </w:r>
      <w:r w:rsidRPr="00384004">
        <w:t xml:space="preserve"> </w:t>
      </w:r>
      <w:r w:rsidR="00384004" w:rsidRPr="00384004">
        <w:t>int</w:t>
      </w:r>
      <w:r w:rsidR="000D04D3">
        <w:t xml:space="preserve">ernational best practice and </w:t>
      </w:r>
      <w:r w:rsidR="00384004" w:rsidRPr="00384004">
        <w:t xml:space="preserve">anchored by the principles of the New Deal for Conflict Affected and Fragile States established by the g7+ Group of countries. </w:t>
      </w:r>
    </w:p>
    <w:p w14:paraId="0942D579" w14:textId="2C21D328" w:rsidR="00384004" w:rsidRPr="00384004" w:rsidRDefault="000D04D3" w:rsidP="001A6F6F">
      <w:pPr>
        <w:pStyle w:val="Numberedpara"/>
      </w:pPr>
      <w:r>
        <w:rPr>
          <w:b/>
        </w:rPr>
        <w:t>T</w:t>
      </w:r>
      <w:r w:rsidR="00384004" w:rsidRPr="00D90BED">
        <w:rPr>
          <w:b/>
        </w:rPr>
        <w:t>he principle that every team matters</w:t>
      </w:r>
      <w:r>
        <w:rPr>
          <w:b/>
        </w:rPr>
        <w:t xml:space="preserve"> underpins the Government’s approach</w:t>
      </w:r>
      <w:r w:rsidR="00384004" w:rsidRPr="00D90BED">
        <w:rPr>
          <w:b/>
        </w:rPr>
        <w:t>.</w:t>
      </w:r>
      <w:r w:rsidR="00384004" w:rsidRPr="00384004">
        <w:t xml:space="preserve"> Much is made of efforts to build capacity in Afghanistan</w:t>
      </w:r>
      <w:r w:rsidR="00D90BED">
        <w:t>,</w:t>
      </w:r>
      <w:r w:rsidR="00993663">
        <w:t xml:space="preserve"> but</w:t>
      </w:r>
      <w:r w:rsidR="00384004" w:rsidRPr="00384004">
        <w:t xml:space="preserve"> </w:t>
      </w:r>
      <w:r w:rsidR="00D90BED">
        <w:t>often</w:t>
      </w:r>
      <w:r w:rsidR="004627DE">
        <w:t xml:space="preserve"> neglects</w:t>
      </w:r>
      <w:r w:rsidR="00384004" w:rsidRPr="00384004">
        <w:t xml:space="preserve"> the corporate and institutional backbone </w:t>
      </w:r>
      <w:r w:rsidR="00774D69" w:rsidRPr="00384004">
        <w:t>of Government</w:t>
      </w:r>
      <w:r w:rsidR="00384004" w:rsidRPr="00384004">
        <w:t xml:space="preserve"> in favour of policy areas. In order to break</w:t>
      </w:r>
      <w:r w:rsidR="001A6F6F">
        <w:t xml:space="preserve"> t</w:t>
      </w:r>
      <w:r w:rsidR="00384004" w:rsidRPr="00384004">
        <w:t>he cycle of external dep</w:t>
      </w:r>
      <w:r w:rsidR="00716C46">
        <w:t xml:space="preserve">endence, the </w:t>
      </w:r>
      <w:r w:rsidR="00716C46">
        <w:lastRenderedPageBreak/>
        <w:t>Government recogniz</w:t>
      </w:r>
      <w:r w:rsidR="00384004" w:rsidRPr="00384004">
        <w:t>es t</w:t>
      </w:r>
      <w:r w:rsidR="004627DE">
        <w:t>he need for more investment</w:t>
      </w:r>
      <w:r w:rsidR="00384004" w:rsidRPr="00384004">
        <w:t xml:space="preserve"> in areas like HR, finance, administration, IT and procurement.</w:t>
      </w:r>
      <w:r w:rsidR="00D90BED">
        <w:rPr>
          <w:rStyle w:val="FootnoteReference"/>
        </w:rPr>
        <w:footnoteReference w:id="2"/>
      </w:r>
      <w:r w:rsidR="00384004" w:rsidRPr="00384004">
        <w:t xml:space="preserve"> </w:t>
      </w:r>
    </w:p>
    <w:p w14:paraId="0DDA44E5" w14:textId="77777777" w:rsidR="00384004" w:rsidRPr="00384004" w:rsidRDefault="00384004" w:rsidP="009C10F9">
      <w:pPr>
        <w:rPr>
          <w:rFonts w:asciiTheme="minorHAnsi" w:hAnsiTheme="minorHAnsi" w:cstheme="minorBidi"/>
          <w:b/>
          <w:color w:val="5F5F5F" w:themeColor="text2" w:themeTint="BF"/>
          <w:sz w:val="22"/>
          <w:lang w:val="en-GB" w:eastAsia="ja-JP"/>
        </w:rPr>
      </w:pPr>
    </w:p>
    <w:p w14:paraId="36F72127" w14:textId="19627001" w:rsidR="00384004" w:rsidRPr="00373C63" w:rsidRDefault="00836B8D" w:rsidP="009C10F9">
      <w:pPr>
        <w:rPr>
          <w:rFonts w:asciiTheme="minorHAnsi" w:hAnsiTheme="minorHAnsi" w:cstheme="minorBidi"/>
          <w:color w:val="FF0000"/>
          <w:sz w:val="22"/>
          <w:lang w:val="en-GB" w:eastAsia="ja-JP"/>
        </w:rPr>
      </w:pPr>
      <w:r w:rsidRPr="00373C63">
        <w:rPr>
          <w:rFonts w:asciiTheme="minorHAnsi" w:hAnsiTheme="minorHAnsi" w:cstheme="minorBidi"/>
          <w:color w:val="FF0000"/>
          <w:sz w:val="22"/>
          <w:lang w:val="en-GB" w:eastAsia="ja-JP"/>
        </w:rPr>
        <w:t>Flagship Reforms</w:t>
      </w:r>
    </w:p>
    <w:p w14:paraId="32FE3A66" w14:textId="08E9676E" w:rsidR="00384004" w:rsidRDefault="00384004" w:rsidP="00384004">
      <w:pPr>
        <w:pStyle w:val="Numberedpara"/>
      </w:pPr>
      <w:r w:rsidRPr="00D90BED">
        <w:rPr>
          <w:b/>
        </w:rPr>
        <w:t>The complexity and enormity of this reform effort</w:t>
      </w:r>
      <w:r w:rsidR="00D90BED" w:rsidRPr="00D90BED">
        <w:rPr>
          <w:b/>
        </w:rPr>
        <w:t xml:space="preserve"> is evident in the team level 5-</w:t>
      </w:r>
      <w:r w:rsidRPr="00D90BED">
        <w:rPr>
          <w:b/>
        </w:rPr>
        <w:t>year rolling plans attached to this paper.</w:t>
      </w:r>
      <w:r>
        <w:t xml:space="preserve"> There are 19 General Directora</w:t>
      </w:r>
      <w:r w:rsidR="004627DE">
        <w:t>tes and 63 Directorates</w:t>
      </w:r>
      <w:r>
        <w:t xml:space="preserve"> in this inaugural p</w:t>
      </w:r>
      <w:r w:rsidR="00716C46">
        <w:t>lan. Each Directorate has identified around</w:t>
      </w:r>
      <w:r>
        <w:t xml:space="preserve"> </w:t>
      </w:r>
      <w:r w:rsidR="00716C46">
        <w:t xml:space="preserve">10 to </w:t>
      </w:r>
      <w:r w:rsidRPr="00D90BED">
        <w:t>12</w:t>
      </w:r>
      <w:r>
        <w:t xml:space="preserve"> activities </w:t>
      </w:r>
      <w:r w:rsidR="004627DE">
        <w:t>to monitor and assess</w:t>
      </w:r>
      <w:r>
        <w:t xml:space="preserve"> meaning the Government is implementing around </w:t>
      </w:r>
      <w:r w:rsidRPr="00D90BED">
        <w:t>700</w:t>
      </w:r>
      <w:r>
        <w:t xml:space="preserve"> activities many</w:t>
      </w:r>
      <w:r w:rsidR="004627DE">
        <w:t xml:space="preserve"> of which have sub-activities. T</w:t>
      </w:r>
      <w:r>
        <w:t xml:space="preserve">his is just the core agencies responsible for the PFM system, and does not yet include line ministries who actually spend the national budget. </w:t>
      </w:r>
      <w:r w:rsidR="00740D07">
        <w:t>T</w:t>
      </w:r>
      <w:r w:rsidR="004627DE">
        <w:t>hey will phase</w:t>
      </w:r>
      <w:r>
        <w:t xml:space="preserve"> into the performance management system beginning in 2017.</w:t>
      </w:r>
    </w:p>
    <w:p w14:paraId="5E133CD6" w14:textId="7761BBAC" w:rsidR="00384004" w:rsidRDefault="00384004" w:rsidP="00384004">
      <w:pPr>
        <w:pStyle w:val="Numberedpara"/>
      </w:pPr>
      <w:r w:rsidRPr="00E9748A">
        <w:rPr>
          <w:b/>
        </w:rPr>
        <w:t>This reflects a reality that is often lost when reforms are “projectised” and the focus is solely on strategic level outcomes.</w:t>
      </w:r>
      <w:r>
        <w:t xml:space="preserve"> Government is big and complicated.</w:t>
      </w:r>
      <w:r w:rsidRPr="005928C7">
        <w:t xml:space="preserve"> </w:t>
      </w:r>
      <w:r>
        <w:t xml:space="preserve">Despite this complexity, it is incumbent on the Government to provide a coherent narrative on what this all means. This plan forms the basis of the PFM reforms outlined by the President and the Minister for Finance to the International Community in Kabul in late 2015. This plan will be the scorecard </w:t>
      </w:r>
      <w:r w:rsidR="00716C46">
        <w:t xml:space="preserve">for </w:t>
      </w:r>
      <w:r>
        <w:t>when the Government next reports to its development partners later this year</w:t>
      </w:r>
      <w:r w:rsidR="00716C46">
        <w:t xml:space="preserve"> in Brussels</w:t>
      </w:r>
      <w:r>
        <w:t>.</w:t>
      </w:r>
    </w:p>
    <w:p w14:paraId="2311B928" w14:textId="12E90A20" w:rsidR="00384004" w:rsidRDefault="00147F24" w:rsidP="00384004">
      <w:pPr>
        <w:pStyle w:val="Numberedpara"/>
      </w:pPr>
      <w:r>
        <w:t>F</w:t>
      </w:r>
      <w:r w:rsidR="00384004" w:rsidRPr="003233D3">
        <w:t>lagship reforms</w:t>
      </w:r>
      <w:r w:rsidR="00384004">
        <w:t xml:space="preserve"> </w:t>
      </w:r>
      <w:r>
        <w:t>being targeted by t</w:t>
      </w:r>
      <w:r w:rsidR="00D90BED">
        <w:t>he Government can be summarised</w:t>
      </w:r>
      <w:r w:rsidR="00716C46">
        <w:t xml:space="preserve"> under three</w:t>
      </w:r>
      <w:r w:rsidR="00384004">
        <w:t xml:space="preserve"> </w:t>
      </w:r>
      <w:r w:rsidR="00D90BED">
        <w:t xml:space="preserve">broad </w:t>
      </w:r>
      <w:r w:rsidR="00384004">
        <w:t>headings:</w:t>
      </w:r>
    </w:p>
    <w:p w14:paraId="79F8FE15" w14:textId="77777777" w:rsidR="00384004" w:rsidRDefault="00384004" w:rsidP="00384004">
      <w:pPr>
        <w:pStyle w:val="THETEXTSTYLE"/>
        <w:numPr>
          <w:ilvl w:val="1"/>
          <w:numId w:val="4"/>
        </w:numPr>
        <w:rPr>
          <w:rFonts w:asciiTheme="minorHAnsi" w:eastAsiaTheme="minorHAnsi" w:hAnsiTheme="minorHAnsi" w:cstheme="minorBidi"/>
          <w:color w:val="5F5F5F" w:themeColor="text2" w:themeTint="BF"/>
          <w:sz w:val="22"/>
          <w:lang w:val="en-GB" w:eastAsia="ja-JP"/>
        </w:rPr>
      </w:pPr>
      <w:r w:rsidRPr="003233D3">
        <w:rPr>
          <w:rFonts w:asciiTheme="minorHAnsi" w:eastAsiaTheme="minorHAnsi" w:hAnsiTheme="minorHAnsi" w:cstheme="minorBidi"/>
          <w:b/>
          <w:i/>
          <w:color w:val="5F5F5F" w:themeColor="text2" w:themeTint="BF"/>
          <w:sz w:val="22"/>
          <w:lang w:val="en-GB" w:eastAsia="ja-JP"/>
        </w:rPr>
        <w:t>Reforms to improve the performance of Government investments</w:t>
      </w:r>
      <w:r w:rsidRPr="00DB476D">
        <w:rPr>
          <w:rFonts w:asciiTheme="minorHAnsi" w:eastAsiaTheme="minorHAnsi" w:hAnsiTheme="minorHAnsi" w:cstheme="minorBidi"/>
          <w:color w:val="5F5F5F" w:themeColor="text2" w:themeTint="BF"/>
          <w:sz w:val="22"/>
          <w:lang w:val="en-GB" w:eastAsia="ja-JP"/>
        </w:rPr>
        <w:t xml:space="preserve">, leading to better economic outcomes </w:t>
      </w:r>
    </w:p>
    <w:p w14:paraId="60386190" w14:textId="77777777" w:rsidR="00384004" w:rsidRPr="003233D3" w:rsidRDefault="00384004" w:rsidP="00384004">
      <w:pPr>
        <w:pStyle w:val="THETEXTSTYLE"/>
        <w:numPr>
          <w:ilvl w:val="1"/>
          <w:numId w:val="4"/>
        </w:numPr>
        <w:rPr>
          <w:rFonts w:asciiTheme="minorHAnsi" w:eastAsiaTheme="minorHAnsi" w:hAnsiTheme="minorHAnsi" w:cstheme="minorBidi"/>
          <w:color w:val="5F5F5F" w:themeColor="text2" w:themeTint="BF"/>
          <w:sz w:val="22"/>
          <w:lang w:val="en-GB" w:eastAsia="ja-JP"/>
        </w:rPr>
      </w:pPr>
      <w:r w:rsidRPr="003233D3">
        <w:rPr>
          <w:rFonts w:asciiTheme="minorHAnsi" w:eastAsiaTheme="minorHAnsi" w:hAnsiTheme="minorHAnsi" w:cstheme="minorBidi"/>
          <w:b/>
          <w:i/>
          <w:color w:val="5F5F5F" w:themeColor="text2" w:themeTint="BF"/>
          <w:sz w:val="22"/>
          <w:lang w:val="en-GB" w:eastAsia="ja-JP"/>
        </w:rPr>
        <w:t>Reforms to ensure the budget is more accurate</w:t>
      </w:r>
      <w:r w:rsidRPr="003233D3">
        <w:rPr>
          <w:rFonts w:asciiTheme="minorHAnsi" w:eastAsiaTheme="minorHAnsi" w:hAnsiTheme="minorHAnsi" w:cstheme="minorBidi"/>
          <w:color w:val="5F5F5F" w:themeColor="text2" w:themeTint="BF"/>
          <w:sz w:val="22"/>
          <w:lang w:val="en-GB" w:eastAsia="ja-JP"/>
        </w:rPr>
        <w:t>, transparent and free of corruption; and</w:t>
      </w:r>
    </w:p>
    <w:p w14:paraId="6E03CDEA" w14:textId="77777777" w:rsidR="00384004" w:rsidRDefault="00384004" w:rsidP="00384004">
      <w:pPr>
        <w:pStyle w:val="THETEXTSTYLE"/>
        <w:numPr>
          <w:ilvl w:val="1"/>
          <w:numId w:val="4"/>
        </w:numPr>
        <w:rPr>
          <w:rFonts w:asciiTheme="minorHAnsi" w:eastAsiaTheme="minorHAnsi" w:hAnsiTheme="minorHAnsi" w:cstheme="minorBidi"/>
          <w:color w:val="5F5F5F" w:themeColor="text2" w:themeTint="BF"/>
          <w:sz w:val="22"/>
          <w:lang w:val="en-GB" w:eastAsia="ja-JP"/>
        </w:rPr>
      </w:pPr>
      <w:r w:rsidRPr="003233D3">
        <w:rPr>
          <w:rFonts w:asciiTheme="minorHAnsi" w:eastAsiaTheme="minorHAnsi" w:hAnsiTheme="minorHAnsi" w:cstheme="minorBidi"/>
          <w:b/>
          <w:i/>
          <w:color w:val="5F5F5F" w:themeColor="text2" w:themeTint="BF"/>
          <w:sz w:val="22"/>
          <w:lang w:val="en-GB" w:eastAsia="ja-JP"/>
        </w:rPr>
        <w:t>Reforms to build the capacity of the state to manage</w:t>
      </w:r>
      <w:r w:rsidRPr="00DB476D">
        <w:rPr>
          <w:rFonts w:asciiTheme="minorHAnsi" w:eastAsiaTheme="minorHAnsi" w:hAnsiTheme="minorHAnsi" w:cstheme="minorBidi"/>
          <w:color w:val="5F5F5F" w:themeColor="text2" w:themeTint="BF"/>
          <w:sz w:val="22"/>
          <w:lang w:val="en-GB" w:eastAsia="ja-JP"/>
        </w:rPr>
        <w:t xml:space="preserve"> </w:t>
      </w:r>
      <w:r w:rsidRPr="00D90BED">
        <w:rPr>
          <w:rFonts w:asciiTheme="minorHAnsi" w:eastAsiaTheme="minorHAnsi" w:hAnsiTheme="minorHAnsi" w:cstheme="minorBidi"/>
          <w:b/>
          <w:color w:val="5F5F5F" w:themeColor="text2" w:themeTint="BF"/>
          <w:sz w:val="22"/>
          <w:lang w:val="en-GB" w:eastAsia="ja-JP"/>
        </w:rPr>
        <w:t>reforms</w:t>
      </w:r>
      <w:r w:rsidRPr="00DB476D">
        <w:rPr>
          <w:rFonts w:asciiTheme="minorHAnsi" w:eastAsiaTheme="minorHAnsi" w:hAnsiTheme="minorHAnsi" w:cstheme="minorBidi"/>
          <w:color w:val="5F5F5F" w:themeColor="text2" w:themeTint="BF"/>
          <w:sz w:val="22"/>
          <w:lang w:val="en-GB" w:eastAsia="ja-JP"/>
        </w:rPr>
        <w:t>, beginning with investments in things like HR, administration, finance, IT and communications within the MOF.</w:t>
      </w:r>
    </w:p>
    <w:p w14:paraId="22FF8CD6" w14:textId="70F923A3" w:rsidR="00384004" w:rsidRDefault="00836B8D" w:rsidP="00384004">
      <w:pPr>
        <w:pStyle w:val="Numberedpara"/>
      </w:pPr>
      <w:r>
        <w:rPr>
          <w:b/>
        </w:rPr>
        <w:t xml:space="preserve"> </w:t>
      </w:r>
      <w:r w:rsidR="00384004" w:rsidRPr="00740D07">
        <w:rPr>
          <w:b/>
        </w:rPr>
        <w:t>The flagship reforms begin with improving the performance of investments leading to better economic outcomes.</w:t>
      </w:r>
      <w:r w:rsidR="004627DE">
        <w:t xml:space="preserve"> This reflects</w:t>
      </w:r>
      <w:r w:rsidR="00384004">
        <w:t xml:space="preserve"> a number of key areas of the plan. </w:t>
      </w:r>
    </w:p>
    <w:p w14:paraId="40CAA6EA" w14:textId="748D8302" w:rsidR="00384004" w:rsidRDefault="00836B8D" w:rsidP="00384004">
      <w:pPr>
        <w:pStyle w:val="Numberedpara"/>
      </w:pPr>
      <w:r>
        <w:rPr>
          <w:b/>
        </w:rPr>
        <w:t xml:space="preserve"> </w:t>
      </w:r>
      <w:r w:rsidR="00384004" w:rsidRPr="00740D07">
        <w:rPr>
          <w:b/>
        </w:rPr>
        <w:t>Firstly, the government has established a new Macro</w:t>
      </w:r>
      <w:r w:rsidR="004627DE">
        <w:rPr>
          <w:b/>
        </w:rPr>
        <w:t>economic</w:t>
      </w:r>
      <w:r w:rsidR="00384004" w:rsidRPr="00740D07">
        <w:rPr>
          <w:b/>
        </w:rPr>
        <w:t xml:space="preserve"> and Fiscal </w:t>
      </w:r>
      <w:r w:rsidR="003C21A5">
        <w:rPr>
          <w:b/>
        </w:rPr>
        <w:t>Performance</w:t>
      </w:r>
      <w:r w:rsidR="00384004" w:rsidRPr="00740D07">
        <w:rPr>
          <w:b/>
        </w:rPr>
        <w:t xml:space="preserve"> </w:t>
      </w:r>
      <w:r w:rsidR="003C21A5">
        <w:rPr>
          <w:b/>
        </w:rPr>
        <w:t xml:space="preserve">Department </w:t>
      </w:r>
      <w:r w:rsidR="00740D07">
        <w:rPr>
          <w:b/>
        </w:rPr>
        <w:t xml:space="preserve">(MFPD), </w:t>
      </w:r>
      <w:r w:rsidR="00384004" w:rsidRPr="00740D07">
        <w:rPr>
          <w:b/>
        </w:rPr>
        <w:t>reporting directly to the Minister for Finance.</w:t>
      </w:r>
      <w:r w:rsidR="00384004">
        <w:t xml:space="preserve"> This is significant as this is the part of Government responsible for bringing revenue and expenditure estimates together and</w:t>
      </w:r>
      <w:r w:rsidR="00740D07">
        <w:t>,</w:t>
      </w:r>
      <w:r w:rsidR="00384004">
        <w:t xml:space="preserve"> </w:t>
      </w:r>
      <w:r w:rsidR="00740D07">
        <w:t xml:space="preserve">based on economic parameters, </w:t>
      </w:r>
      <w:r w:rsidR="00384004">
        <w:t xml:space="preserve">presenting the fiscal outlook to the Cabinet. The MFPD </w:t>
      </w:r>
      <w:r w:rsidR="004627DE">
        <w:t>5-year plan focusses on</w:t>
      </w:r>
      <w:r w:rsidR="00740D07">
        <w:t xml:space="preserve"> </w:t>
      </w:r>
      <w:r w:rsidR="004627DE">
        <w:t xml:space="preserve">making </w:t>
      </w:r>
      <w:r w:rsidR="00740D07">
        <w:t>an improved</w:t>
      </w:r>
      <w:r w:rsidR="004627DE">
        <w:t xml:space="preserve"> fiscal space analysis </w:t>
      </w:r>
      <w:r w:rsidR="00384004">
        <w:t xml:space="preserve">the basis for Cabinet consideration of the priorities for the annual budget. It will also help underpin the creation of credible </w:t>
      </w:r>
      <w:r w:rsidR="004627DE">
        <w:t>forward estimates</w:t>
      </w:r>
      <w:r w:rsidR="00384004">
        <w:t>. A statement of national priorities by the Government based on improved macro</w:t>
      </w:r>
      <w:r w:rsidR="004627DE">
        <w:t>economic and fiscal analysis will</w:t>
      </w:r>
      <w:r w:rsidR="00384004">
        <w:t xml:space="preserve"> guide and focus the preparation of the annual bud</w:t>
      </w:r>
      <w:r w:rsidR="00740D07">
        <w:t>get, laying the foundation for</w:t>
      </w:r>
      <w:r w:rsidR="00384004">
        <w:t xml:space="preserve"> linking policy and budgets.</w:t>
      </w:r>
    </w:p>
    <w:p w14:paraId="39722930" w14:textId="68066F89" w:rsidR="00384004" w:rsidRDefault="00836B8D" w:rsidP="00384004">
      <w:pPr>
        <w:pStyle w:val="Numberedpara"/>
      </w:pPr>
      <w:r>
        <w:rPr>
          <w:b/>
        </w:rPr>
        <w:lastRenderedPageBreak/>
        <w:t xml:space="preserve"> </w:t>
      </w:r>
      <w:r w:rsidR="00384004" w:rsidRPr="00740D07">
        <w:rPr>
          <w:b/>
        </w:rPr>
        <w:t xml:space="preserve">Secondly, the Government has established the </w:t>
      </w:r>
      <w:r w:rsidR="00314E60" w:rsidRPr="00740D07">
        <w:rPr>
          <w:b/>
        </w:rPr>
        <w:t xml:space="preserve">Programs Implementation and </w:t>
      </w:r>
      <w:r w:rsidR="00384004" w:rsidRPr="00740D07">
        <w:rPr>
          <w:b/>
        </w:rPr>
        <w:t xml:space="preserve">Coordination General Directorate </w:t>
      </w:r>
      <w:r w:rsidR="00147F24" w:rsidRPr="00740D07">
        <w:rPr>
          <w:b/>
        </w:rPr>
        <w:t>to support</w:t>
      </w:r>
      <w:r w:rsidR="00384004" w:rsidRPr="00740D07">
        <w:rPr>
          <w:b/>
        </w:rPr>
        <w:t xml:space="preserve"> the Councils whose primary function is to guide national development priorities.</w:t>
      </w:r>
      <w:r w:rsidR="00384004">
        <w:t xml:space="preserve"> This is in effect a Cabinet Secretariat role and their plan focusses on setting up robust procedures for managing the bus</w:t>
      </w:r>
      <w:r w:rsidR="00740D07">
        <w:t>iness of the councils. This will</w:t>
      </w:r>
      <w:r w:rsidR="004627DE">
        <w:t xml:space="preserve"> assist</w:t>
      </w:r>
      <w:r w:rsidR="00384004">
        <w:t xml:space="preserve"> the Directorate General of Budget to direct budget submissions towards national priorities with a clear understanding of the fiscal space available for Government investment</w:t>
      </w:r>
      <w:r w:rsidR="00740D07">
        <w:t xml:space="preserve"> and the national development priorities</w:t>
      </w:r>
      <w:r w:rsidR="00384004">
        <w:t>.</w:t>
      </w:r>
    </w:p>
    <w:p w14:paraId="6BA2E988" w14:textId="756A985C" w:rsidR="00384004" w:rsidRDefault="00774D69" w:rsidP="00384004">
      <w:pPr>
        <w:pStyle w:val="Numberedpara"/>
      </w:pPr>
      <w:r>
        <w:rPr>
          <w:b/>
        </w:rPr>
        <w:t xml:space="preserve"> </w:t>
      </w:r>
      <w:r w:rsidRPr="00740D07">
        <w:rPr>
          <w:b/>
        </w:rPr>
        <w:t xml:space="preserve">A range of measures to ensure the accuracy, transparency and </w:t>
      </w:r>
      <w:r w:rsidR="00147F24" w:rsidRPr="00740D07">
        <w:rPr>
          <w:b/>
        </w:rPr>
        <w:t>robustness of the budget will</w:t>
      </w:r>
      <w:r w:rsidRPr="00740D07">
        <w:rPr>
          <w:b/>
        </w:rPr>
        <w:t xml:space="preserve"> reinforce t</w:t>
      </w:r>
      <w:r w:rsidR="00384004" w:rsidRPr="00740D07">
        <w:rPr>
          <w:b/>
        </w:rPr>
        <w:t>his improvement in the policy setting process at the s</w:t>
      </w:r>
      <w:r w:rsidRPr="00740D07">
        <w:rPr>
          <w:b/>
        </w:rPr>
        <w:t>tart of the annual budget cycle</w:t>
      </w:r>
      <w:r w:rsidR="00384004" w:rsidRPr="00740D07">
        <w:rPr>
          <w:b/>
        </w:rPr>
        <w:t>.</w:t>
      </w:r>
      <w:r w:rsidR="00384004">
        <w:t xml:space="preserve"> This will begin with efforts to introduce more </w:t>
      </w:r>
      <w:r>
        <w:t>systematic,</w:t>
      </w:r>
      <w:r w:rsidR="00384004">
        <w:t xml:space="preserve"> accurate and rule-based costing of budget proposals piloting new approaches in the MOF before rolling them out to other Ministries. There</w:t>
      </w:r>
      <w:r w:rsidR="00740D07">
        <w:t xml:space="preserve"> will also be trials of reforms to</w:t>
      </w:r>
      <w:r w:rsidR="00384004">
        <w:t xml:space="preserve"> the commitment</w:t>
      </w:r>
      <w:r w:rsidR="004627DE">
        <w:t xml:space="preserve"> control process to ensure the use of allotments is</w:t>
      </w:r>
      <w:r w:rsidR="00384004">
        <w:t xml:space="preserve"> f</w:t>
      </w:r>
      <w:r w:rsidR="007530B1">
        <w:t>or their intended purpose. I</w:t>
      </w:r>
      <w:r w:rsidR="00384004">
        <w:t>mproved forecasting and the establishment of rolling forward estimates</w:t>
      </w:r>
      <w:r w:rsidR="007530B1">
        <w:t xml:space="preserve"> will help to eliminate the </w:t>
      </w:r>
      <w:r w:rsidR="00384004">
        <w:t>systematic over estimation of both revenue and expenditure that has been a feature of the national</w:t>
      </w:r>
      <w:r w:rsidR="00740D07">
        <w:t xml:space="preserve"> </w:t>
      </w:r>
      <w:r w:rsidR="004627DE">
        <w:t>budget over recent years</w:t>
      </w:r>
      <w:r w:rsidR="007530B1">
        <w:t>.</w:t>
      </w:r>
      <w:r w:rsidR="004627DE">
        <w:t xml:space="preserve"> </w:t>
      </w:r>
      <w:r w:rsidR="00740D07">
        <w:t>This is a key area of reform requiring</w:t>
      </w:r>
      <w:r w:rsidR="00384004">
        <w:t xml:space="preserve"> attention if Afghanistan is to reach its aspirational targets u</w:t>
      </w:r>
      <w:r w:rsidR="00740D07">
        <w:t>nder international benchmarks for</w:t>
      </w:r>
      <w:r w:rsidR="00384004">
        <w:t xml:space="preserve"> good public financial management.</w:t>
      </w:r>
    </w:p>
    <w:p w14:paraId="63E5F11A" w14:textId="02E853E4" w:rsidR="00384004" w:rsidRDefault="00836B8D" w:rsidP="00384004">
      <w:pPr>
        <w:pStyle w:val="Numberedpara"/>
      </w:pPr>
      <w:r>
        <w:rPr>
          <w:b/>
          <w:i/>
        </w:rPr>
        <w:t xml:space="preserve"> </w:t>
      </w:r>
      <w:r w:rsidR="00384004" w:rsidRPr="00740D07">
        <w:rPr>
          <w:b/>
          <w:i/>
        </w:rPr>
        <w:t xml:space="preserve">Treasury will make very large investments in </w:t>
      </w:r>
      <w:r w:rsidR="00740D07">
        <w:rPr>
          <w:b/>
          <w:i/>
        </w:rPr>
        <w:t>the Afghanistan Financial Management System (</w:t>
      </w:r>
      <w:r w:rsidR="00384004" w:rsidRPr="00740D07">
        <w:rPr>
          <w:b/>
          <w:i/>
        </w:rPr>
        <w:t>AFMIS</w:t>
      </w:r>
      <w:r w:rsidR="00740D07">
        <w:rPr>
          <w:b/>
          <w:i/>
        </w:rPr>
        <w:t>)</w:t>
      </w:r>
      <w:r w:rsidR="00384004" w:rsidRPr="00740D07">
        <w:rPr>
          <w:b/>
          <w:i/>
        </w:rPr>
        <w:t xml:space="preserve"> </w:t>
      </w:r>
      <w:r w:rsidR="00384004" w:rsidRPr="00740D07">
        <w:rPr>
          <w:b/>
        </w:rPr>
        <w:t>to bed in important improvements to the management of expenditure.</w:t>
      </w:r>
      <w:r w:rsidR="00740D07">
        <w:t xml:space="preserve"> An upgraded AFMIS</w:t>
      </w:r>
      <w:r w:rsidR="00384004">
        <w:t xml:space="preserve"> will link contract and procurement information to Treasury functions. This will combine with improved cash management and commitment controls to remove most of the points of disc</w:t>
      </w:r>
      <w:r w:rsidR="00740D07">
        <w:t>retion in the system that allow</w:t>
      </w:r>
      <w:r w:rsidR="00384004">
        <w:t xml:space="preserve"> for corruption. The National Procurement Authority (NPA) will work with Treasury to ensur</w:t>
      </w:r>
      <w:r w:rsidR="007530B1">
        <w:t xml:space="preserve">e no </w:t>
      </w:r>
      <w:r w:rsidR="00373C63">
        <w:t>payments</w:t>
      </w:r>
      <w:r w:rsidR="007530B1">
        <w:t xml:space="preserve"> to</w:t>
      </w:r>
      <w:r w:rsidR="00384004">
        <w:t xml:space="preserve"> a</w:t>
      </w:r>
      <w:r w:rsidR="007530B1">
        <w:t>ny</w:t>
      </w:r>
      <w:r w:rsidR="00384004">
        <w:t xml:space="preserve"> project that has not met Governmen</w:t>
      </w:r>
      <w:r w:rsidR="00373C63">
        <w:t>t procurement standards. Similarly, contractors will receive no</w:t>
      </w:r>
      <w:r w:rsidR="00384004">
        <w:t xml:space="preserve"> milestone payments unless </w:t>
      </w:r>
      <w:r w:rsidR="00373C63">
        <w:t>the contract and milestones are</w:t>
      </w:r>
      <w:r w:rsidR="005779AB">
        <w:t xml:space="preserve"> </w:t>
      </w:r>
      <w:r w:rsidR="00384004">
        <w:t xml:space="preserve">on the system. </w:t>
      </w:r>
    </w:p>
    <w:p w14:paraId="075F6577" w14:textId="45FF9F9B" w:rsidR="00384004" w:rsidRDefault="00836B8D" w:rsidP="00384004">
      <w:pPr>
        <w:pStyle w:val="Numberedpara"/>
      </w:pPr>
      <w:r>
        <w:rPr>
          <w:b/>
        </w:rPr>
        <w:t xml:space="preserve"> </w:t>
      </w:r>
      <w:r w:rsidR="00384004" w:rsidRPr="005779AB">
        <w:rPr>
          <w:b/>
        </w:rPr>
        <w:t xml:space="preserve">Budget reporting remains an area in need of significant improvement. </w:t>
      </w:r>
      <w:r w:rsidR="00384004" w:rsidRPr="00E701ED">
        <w:t>As noted in the President’s PFM Assessment</w:t>
      </w:r>
      <w:r w:rsidR="005779AB" w:rsidRPr="00E701ED">
        <w:t xml:space="preserve"> </w:t>
      </w:r>
      <w:r w:rsidR="00E701ED">
        <w:t xml:space="preserve">(March 2015) </w:t>
      </w:r>
      <w:r w:rsidR="005779AB" w:rsidRPr="00E701ED">
        <w:t xml:space="preserve">and in PEFA scores, it is not possible with existing systems to </w:t>
      </w:r>
      <w:r w:rsidR="00384004" w:rsidRPr="00E701ED">
        <w:t>accurately compare the budget to the end of year financial accounts.</w:t>
      </w:r>
      <w:r w:rsidR="00384004">
        <w:t xml:space="preserve"> The Government intends to move to a consol</w:t>
      </w:r>
      <w:r w:rsidR="00E701ED">
        <w:t>idated national budget in the longer-term</w:t>
      </w:r>
      <w:r w:rsidR="00384004">
        <w:t xml:space="preserve"> with one currency and one accounting standard.</w:t>
      </w:r>
      <w:r w:rsidR="00314E60">
        <w:t xml:space="preserve"> </w:t>
      </w:r>
      <w:r w:rsidR="007530B1">
        <w:t>In the shorter-tem, the Government will introduce ministerial</w:t>
      </w:r>
      <w:r w:rsidR="00384004">
        <w:t xml:space="preserve"> budget statements at the </w:t>
      </w:r>
      <w:r w:rsidR="007530B1">
        <w:t>beginning of the budget year and</w:t>
      </w:r>
      <w:r w:rsidR="00384004">
        <w:t xml:space="preserve"> annual reports that compa</w:t>
      </w:r>
      <w:r w:rsidR="007530B1">
        <w:t>re budgets to actuals. Piloted in the Mo</w:t>
      </w:r>
      <w:r w:rsidR="00384004">
        <w:t xml:space="preserve">F and rolled out </w:t>
      </w:r>
      <w:r w:rsidR="00314E60">
        <w:t>to all line Ministries over the next fe</w:t>
      </w:r>
      <w:bookmarkStart w:id="3" w:name="_GoBack"/>
      <w:bookmarkEnd w:id="3"/>
      <w:r w:rsidR="00314E60">
        <w:t xml:space="preserve">w years. This </w:t>
      </w:r>
      <w:r w:rsidR="005779AB">
        <w:t xml:space="preserve">improved reporting </w:t>
      </w:r>
      <w:r w:rsidR="00314E60">
        <w:t>will not replace</w:t>
      </w:r>
      <w:r w:rsidR="00384004">
        <w:t xml:space="preserve"> internal and external audit with </w:t>
      </w:r>
      <w:r w:rsidR="005779AB">
        <w:t>the 2016 plan</w:t>
      </w:r>
      <w:r w:rsidR="00E701ED">
        <w:t xml:space="preserve"> focussed</w:t>
      </w:r>
      <w:r w:rsidR="00384004">
        <w:t xml:space="preserve"> on strengthening internal audit to meet international standards and building capacity for audit.</w:t>
      </w:r>
    </w:p>
    <w:p w14:paraId="71C432BC" w14:textId="0CADE8C7" w:rsidR="00384004" w:rsidRDefault="00836B8D" w:rsidP="00384004">
      <w:pPr>
        <w:pStyle w:val="Numberedpara"/>
      </w:pPr>
      <w:r>
        <w:rPr>
          <w:b/>
        </w:rPr>
        <w:t xml:space="preserve"> </w:t>
      </w:r>
      <w:r w:rsidR="00384004" w:rsidRPr="005779AB">
        <w:rPr>
          <w:b/>
        </w:rPr>
        <w:t xml:space="preserve">Revenue is an area that has already been a key focus for the </w:t>
      </w:r>
      <w:r w:rsidR="005779AB">
        <w:rPr>
          <w:b/>
        </w:rPr>
        <w:t>G</w:t>
      </w:r>
      <w:r w:rsidR="00384004" w:rsidRPr="005779AB">
        <w:rPr>
          <w:b/>
        </w:rPr>
        <w:t>overnment, with significant improvements already achieved.</w:t>
      </w:r>
      <w:r w:rsidR="00384004">
        <w:t xml:space="preserve"> This plan shows strong intent </w:t>
      </w:r>
      <w:r w:rsidR="00774D69">
        <w:t>in both revenue and customs</w:t>
      </w:r>
      <w:r w:rsidR="00384004">
        <w:t xml:space="preserve"> to increase revenue. The focus is on doing the basics first, expanding the reach of the revenue authorities and improving compliance. Policy measures will remain under consideration but the reach and capacity of the revenue and customs departments to administer </w:t>
      </w:r>
      <w:r w:rsidR="00373C63">
        <w:t>the current system are the</w:t>
      </w:r>
      <w:r w:rsidR="00384004">
        <w:t xml:space="preserve"> priority. </w:t>
      </w:r>
    </w:p>
    <w:p w14:paraId="0EDB5275" w14:textId="005D4BA6" w:rsidR="00384004" w:rsidRDefault="00836B8D" w:rsidP="00384004">
      <w:pPr>
        <w:pStyle w:val="Numberedpara"/>
      </w:pPr>
      <w:r>
        <w:rPr>
          <w:b/>
        </w:rPr>
        <w:lastRenderedPageBreak/>
        <w:t xml:space="preserve"> </w:t>
      </w:r>
      <w:r w:rsidR="00384004" w:rsidRPr="005779AB">
        <w:rPr>
          <w:b/>
        </w:rPr>
        <w:t>None of this will be possible unless the Government can improve its institutional capacity to manage the national budget.</w:t>
      </w:r>
      <w:r w:rsidR="00384004">
        <w:t xml:space="preserve"> This plan contains significant measures to improve HR, IT, administration and especially internal budget and financial management processes. The Government will be</w:t>
      </w:r>
      <w:r w:rsidR="00373C63">
        <w:t>gin with the Mo</w:t>
      </w:r>
      <w:r w:rsidR="005779AB">
        <w:t>F and add in</w:t>
      </w:r>
      <w:r w:rsidR="00384004">
        <w:t xml:space="preserve"> key line ministries over the next year or</w:t>
      </w:r>
      <w:r w:rsidR="00373C63">
        <w:t xml:space="preserve"> two. These reforms aim to reduce</w:t>
      </w:r>
      <w:r w:rsidR="00384004">
        <w:t xml:space="preserve"> f</w:t>
      </w:r>
      <w:r w:rsidR="00373C63">
        <w:t>iduciary risks and improve</w:t>
      </w:r>
      <w:r w:rsidR="00384004">
        <w:t xml:space="preserve"> the performance of the Government. A good example is the policy of moving away from externally contracted staff towards more use of </w:t>
      </w:r>
      <w:r w:rsidR="00B95E74">
        <w:t>Capacity Building for Results (</w:t>
      </w:r>
      <w:r w:rsidR="00384004">
        <w:t>CBR</w:t>
      </w:r>
      <w:r w:rsidR="00B95E74">
        <w:t>) funds</w:t>
      </w:r>
      <w:r w:rsidR="00384004">
        <w:t xml:space="preserve"> and making su</w:t>
      </w:r>
      <w:r w:rsidR="00373C63">
        <w:t>re that all core positions are T</w:t>
      </w:r>
      <w:r w:rsidR="00384004">
        <w:t xml:space="preserve">ashkeel. </w:t>
      </w:r>
      <w:r w:rsidR="005779AB">
        <w:t>External technical assistance</w:t>
      </w:r>
      <w:r w:rsidR="00384004">
        <w:t xml:space="preserve"> will be still be needed but it will now be restricted to a small number of genuine gaps.</w:t>
      </w:r>
    </w:p>
    <w:p w14:paraId="3A76F37A" w14:textId="393C2628" w:rsidR="00DF4964" w:rsidRDefault="00DF4964" w:rsidP="00DF4964">
      <w:pPr>
        <w:pStyle w:val="Numberedpara"/>
      </w:pPr>
      <w:r>
        <w:rPr>
          <w:b/>
        </w:rPr>
        <w:t xml:space="preserve"> </w:t>
      </w:r>
      <w:r w:rsidRPr="00DF4964">
        <w:rPr>
          <w:b/>
        </w:rPr>
        <w:t>MoF will incorporate the detailed anti-corruption</w:t>
      </w:r>
      <w:r>
        <w:t>, currently under Cabinet consideration, into the plan at the mid-year assessment.</w:t>
      </w:r>
    </w:p>
    <w:p w14:paraId="0EF7053C" w14:textId="0683E6DB" w:rsidR="00384004" w:rsidRDefault="00836B8D" w:rsidP="00384004">
      <w:pPr>
        <w:pStyle w:val="Numberedpara"/>
      </w:pPr>
      <w:r>
        <w:rPr>
          <w:b/>
        </w:rPr>
        <w:t xml:space="preserve"> </w:t>
      </w:r>
      <w:r w:rsidR="00373C63">
        <w:rPr>
          <w:b/>
        </w:rPr>
        <w:t>This policy reflects</w:t>
      </w:r>
      <w:r w:rsidR="00384004" w:rsidRPr="005779AB">
        <w:rPr>
          <w:b/>
        </w:rPr>
        <w:t xml:space="preserve"> the Government</w:t>
      </w:r>
      <w:r w:rsidR="00373C63">
        <w:rPr>
          <w:b/>
        </w:rPr>
        <w:t>’s decision</w:t>
      </w:r>
      <w:r w:rsidR="00384004" w:rsidRPr="005779AB">
        <w:rPr>
          <w:b/>
        </w:rPr>
        <w:t xml:space="preserve"> not </w:t>
      </w:r>
      <w:r w:rsidR="00373C63">
        <w:rPr>
          <w:b/>
        </w:rPr>
        <w:t>to seek</w:t>
      </w:r>
      <w:r w:rsidR="00384004" w:rsidRPr="005779AB">
        <w:rPr>
          <w:b/>
        </w:rPr>
        <w:t xml:space="preserve"> to extend or replace the UNDP supported MBAW or the UK supported SABII</w:t>
      </w:r>
      <w:r w:rsidR="005779AB" w:rsidRPr="005779AB">
        <w:rPr>
          <w:b/>
        </w:rPr>
        <w:t xml:space="preserve"> in the short term</w:t>
      </w:r>
      <w:r w:rsidR="00384004" w:rsidRPr="005779AB">
        <w:rPr>
          <w:b/>
        </w:rPr>
        <w:t>.</w:t>
      </w:r>
      <w:r w:rsidR="00384004">
        <w:t xml:space="preserve"> While these programs have made a significant contribution to the Government’s capacity, </w:t>
      </w:r>
      <w:r w:rsidR="00373C63">
        <w:t>the Government focus is</w:t>
      </w:r>
      <w:r w:rsidR="005779AB">
        <w:t xml:space="preserve"> on putting </w:t>
      </w:r>
      <w:r w:rsidR="00B22D31">
        <w:t xml:space="preserve">in </w:t>
      </w:r>
      <w:r w:rsidR="005779AB">
        <w:t>place</w:t>
      </w:r>
      <w:r w:rsidR="00384004">
        <w:t xml:space="preserve"> long-term business plans, with sustainable staffing profiles with officials in all key positions. </w:t>
      </w:r>
      <w:r w:rsidR="005779AB">
        <w:t>With this done,</w:t>
      </w:r>
      <w:r w:rsidR="00373C63">
        <w:t xml:space="preserve"> we can better target</w:t>
      </w:r>
      <w:r w:rsidR="005779AB">
        <w:t xml:space="preserve"> external support to meet the Government’s needs.</w:t>
      </w:r>
    </w:p>
    <w:p w14:paraId="605C89C6" w14:textId="3A4A2552" w:rsidR="001A6F6F" w:rsidRPr="00836B8D" w:rsidRDefault="00836B8D" w:rsidP="005779AB">
      <w:pPr>
        <w:pStyle w:val="Numberedpara"/>
      </w:pPr>
      <w:r>
        <w:rPr>
          <w:b/>
        </w:rPr>
        <w:t xml:space="preserve"> </w:t>
      </w:r>
      <w:r w:rsidR="003C5D9B" w:rsidRPr="005779AB">
        <w:rPr>
          <w:b/>
        </w:rPr>
        <w:t xml:space="preserve">Reforms will be assessed through a range of custom designed </w:t>
      </w:r>
      <w:r w:rsidR="00314E60" w:rsidRPr="005779AB">
        <w:rPr>
          <w:b/>
        </w:rPr>
        <w:t>o</w:t>
      </w:r>
      <w:r w:rsidR="003C5D9B" w:rsidRPr="005779AB">
        <w:rPr>
          <w:b/>
        </w:rPr>
        <w:t xml:space="preserve">utcomes and international benchmarks. </w:t>
      </w:r>
      <w:r w:rsidR="003C5D9B">
        <w:t xml:space="preserve">In this </w:t>
      </w:r>
      <w:r w:rsidR="00774D69">
        <w:t>plan,</w:t>
      </w:r>
      <w:r w:rsidR="003C5D9B">
        <w:t xml:space="preserve"> the Government has proposed an initial set of aspirational targets for PEFA, OBI, Statistical Capacity and Doing Business indicators. We expect to finalise these aspirational tar</w:t>
      </w:r>
      <w:r w:rsidR="00147F24">
        <w:t>gets by the end of this year</w:t>
      </w:r>
      <w:r w:rsidR="003C5D9B">
        <w:t xml:space="preserve"> after which they will rema</w:t>
      </w:r>
      <w:r w:rsidR="005779AB">
        <w:t xml:space="preserve">in fixed over the next 5 years. </w:t>
      </w:r>
      <w:r w:rsidR="003C5D9B" w:rsidRPr="00836B8D">
        <w:t>The purpose of the aspirational targets it to ensure that the government is working towards best practice</w:t>
      </w:r>
      <w:r w:rsidR="00E701ED">
        <w:t xml:space="preserve"> in public financial management</w:t>
      </w:r>
      <w:r w:rsidR="003C5D9B" w:rsidRPr="00836B8D">
        <w:t xml:space="preserve"> as well as to provide a context for donor partners to compare progress.</w:t>
      </w:r>
    </w:p>
    <w:p w14:paraId="0E4517C0" w14:textId="3CF22129" w:rsidR="001A6F6F" w:rsidRPr="00373C63" w:rsidRDefault="001A6F6F" w:rsidP="001A6F6F">
      <w:pPr>
        <w:pStyle w:val="Numberedpara"/>
        <w:numPr>
          <w:ilvl w:val="0"/>
          <w:numId w:val="0"/>
        </w:numPr>
        <w:ind w:left="360" w:hanging="360"/>
        <w:rPr>
          <w:color w:val="FF0000"/>
        </w:rPr>
      </w:pPr>
      <w:r w:rsidRPr="00373C63">
        <w:rPr>
          <w:color w:val="FF0000"/>
        </w:rPr>
        <w:t>Risk Return Profile of proposed reforms</w:t>
      </w:r>
    </w:p>
    <w:p w14:paraId="363C28B3" w14:textId="6BFB4FAB" w:rsidR="001A6F6F" w:rsidRDefault="005779AB" w:rsidP="00836B8D">
      <w:pPr>
        <w:pStyle w:val="Numberedpara"/>
      </w:pPr>
      <w:r>
        <w:t xml:space="preserve"> </w:t>
      </w:r>
      <w:r w:rsidRPr="005779AB">
        <w:rPr>
          <w:b/>
        </w:rPr>
        <w:t>As might</w:t>
      </w:r>
      <w:r w:rsidR="003C5D9B" w:rsidRPr="005779AB">
        <w:rPr>
          <w:b/>
        </w:rPr>
        <w:t xml:space="preserve"> be expected, the risk return profile </w:t>
      </w:r>
      <w:r w:rsidRPr="005779AB">
        <w:rPr>
          <w:b/>
        </w:rPr>
        <w:t xml:space="preserve">of this first 5-year plan </w:t>
      </w:r>
      <w:r w:rsidR="003C5D9B" w:rsidRPr="005779AB">
        <w:rPr>
          <w:b/>
        </w:rPr>
        <w:t>is one where most activities are high impact but high risk.</w:t>
      </w:r>
      <w:r w:rsidR="00373C63">
        <w:rPr>
          <w:rStyle w:val="FootnoteReference"/>
          <w:b/>
        </w:rPr>
        <w:footnoteReference w:id="3"/>
      </w:r>
      <w:r w:rsidR="003C5D9B">
        <w:t xml:space="preserve"> This profile shows that teams are prepared to take on the important reforms, but recognises that they will be a challenge. Careful monitoring through the performance management system will be require</w:t>
      </w:r>
      <w:r w:rsidR="00373C63">
        <w:t>d to ensure progress</w:t>
      </w:r>
      <w:r w:rsidR="003C5D9B">
        <w:t xml:space="preserve"> and that important reforms are not lagging.</w:t>
      </w:r>
    </w:p>
    <w:p w14:paraId="2FEEFC56" w14:textId="57C94E9B" w:rsidR="001A6F6F" w:rsidRPr="00373C63" w:rsidRDefault="001A6F6F" w:rsidP="001A6F6F">
      <w:pPr>
        <w:pStyle w:val="Numberedpara"/>
        <w:numPr>
          <w:ilvl w:val="0"/>
          <w:numId w:val="0"/>
        </w:numPr>
        <w:ind w:left="360" w:hanging="360"/>
      </w:pPr>
      <w:r w:rsidRPr="00373C63">
        <w:rPr>
          <w:color w:val="FF0000"/>
        </w:rPr>
        <w:t>Staffing Priorities</w:t>
      </w:r>
    </w:p>
    <w:p w14:paraId="3E9788FB" w14:textId="5390967C" w:rsidR="00341D8A" w:rsidRDefault="00E9748A" w:rsidP="005779AB">
      <w:pPr>
        <w:pStyle w:val="Numberedpara"/>
      </w:pPr>
      <w:r>
        <w:rPr>
          <w:b/>
        </w:rPr>
        <w:t xml:space="preserve"> </w:t>
      </w:r>
      <w:r w:rsidR="005779AB" w:rsidRPr="005779AB">
        <w:rPr>
          <w:b/>
        </w:rPr>
        <w:t>The detailed 5-</w:t>
      </w:r>
      <w:r w:rsidR="003C5D9B" w:rsidRPr="005779AB">
        <w:rPr>
          <w:b/>
        </w:rPr>
        <w:t>year plans attached to this paper reveal that much of the reform agenda is about actions being taken by teams, in other words by people.</w:t>
      </w:r>
      <w:r w:rsidR="005779AB">
        <w:t xml:space="preserve"> </w:t>
      </w:r>
      <w:r w:rsidR="00373C63">
        <w:t>Teams have identified t</w:t>
      </w:r>
      <w:r w:rsidR="005779AB">
        <w:t>echnical a</w:t>
      </w:r>
      <w:r w:rsidR="003C5D9B">
        <w:t xml:space="preserve">ssistance gaps using a consistent methodology focussed on the underlying policy of moving away from external assistance towards self-reliance. In contrast to previous designs of projects to assist the </w:t>
      </w:r>
      <w:r w:rsidR="00774D69">
        <w:t>Government,</w:t>
      </w:r>
      <w:r w:rsidR="003C5D9B">
        <w:t xml:space="preserve"> the focus is on </w:t>
      </w:r>
      <w:r w:rsidR="00373C63">
        <w:t xml:space="preserve">teams and </w:t>
      </w:r>
      <w:r w:rsidR="003C5D9B">
        <w:t>individual activities rather tha</w:t>
      </w:r>
      <w:r w:rsidR="00147F24">
        <w:t>n thematic areas. F</w:t>
      </w:r>
      <w:r w:rsidR="003C5D9B">
        <w:t xml:space="preserve">or each </w:t>
      </w:r>
      <w:r w:rsidR="00373C63">
        <w:t xml:space="preserve">proposed </w:t>
      </w:r>
      <w:r w:rsidR="003C5D9B">
        <w:t>action</w:t>
      </w:r>
      <w:r w:rsidR="00147F24">
        <w:t>,</w:t>
      </w:r>
      <w:r w:rsidR="003C5D9B">
        <w:t xml:space="preserve"> t</w:t>
      </w:r>
      <w:r w:rsidR="00DF09B4">
        <w:t>eams have identified</w:t>
      </w:r>
      <w:r w:rsidR="003C5D9B">
        <w:t xml:space="preserve"> the wo</w:t>
      </w:r>
      <w:r w:rsidR="00DF09B4">
        <w:t>rk</w:t>
      </w:r>
      <w:r w:rsidR="005779AB">
        <w:t xml:space="preserve"> done by either national or international technical assistance.  </w:t>
      </w:r>
    </w:p>
    <w:p w14:paraId="7E532BEE" w14:textId="6A28EDD3" w:rsidR="001A6F6F" w:rsidRDefault="00341D8A" w:rsidP="005779AB">
      <w:pPr>
        <w:pStyle w:val="Numberedpara"/>
      </w:pPr>
      <w:r>
        <w:rPr>
          <w:b/>
        </w:rPr>
        <w:t xml:space="preserve"> </w:t>
      </w:r>
      <w:r w:rsidR="003C5D9B" w:rsidRPr="00341D8A">
        <w:rPr>
          <w:b/>
        </w:rPr>
        <w:t xml:space="preserve">By systematically identifying where </w:t>
      </w:r>
      <w:r>
        <w:rPr>
          <w:b/>
        </w:rPr>
        <w:t>the TA is, and linking it to</w:t>
      </w:r>
      <w:r w:rsidR="003C5D9B" w:rsidRPr="00341D8A">
        <w:rPr>
          <w:b/>
        </w:rPr>
        <w:t xml:space="preserve"> major actions under the reform plan, we now have a team level view of the needs.</w:t>
      </w:r>
      <w:r>
        <w:t xml:space="preserve"> This has helped the Government </w:t>
      </w:r>
      <w:r w:rsidR="003C5D9B">
        <w:t>to plan for moving</w:t>
      </w:r>
      <w:r w:rsidR="00016F94">
        <w:t xml:space="preserve"> long-term </w:t>
      </w:r>
      <w:r w:rsidR="00016F94">
        <w:lastRenderedPageBreak/>
        <w:t>contractors over to T</w:t>
      </w:r>
      <w:r w:rsidR="003C5D9B">
        <w:t xml:space="preserve">ashkeel, with CBR top ups where appropriate. </w:t>
      </w:r>
      <w:r w:rsidR="00DF4964">
        <w:t>We have</w:t>
      </w:r>
      <w:r w:rsidR="00016F94">
        <w:t xml:space="preserve"> made significant progress</w:t>
      </w:r>
      <w:r w:rsidR="003C5D9B">
        <w:t xml:space="preserve"> </w:t>
      </w:r>
      <w:r w:rsidR="00016F94">
        <w:t xml:space="preserve">in this areas </w:t>
      </w:r>
      <w:r w:rsidR="003C5D9B">
        <w:t>and the Government expects to s</w:t>
      </w:r>
      <w:r w:rsidR="00DF4964">
        <w:t>ee a</w:t>
      </w:r>
      <w:r w:rsidR="00016F94">
        <w:t xml:space="preserve"> </w:t>
      </w:r>
      <w:r>
        <w:t>steady move away from long-</w:t>
      </w:r>
      <w:r w:rsidR="00A324C8">
        <w:t>term TA towards</w:t>
      </w:r>
      <w:r w:rsidR="003C5D9B">
        <w:t xml:space="preserve"> support for skills gaps.  </w:t>
      </w:r>
    </w:p>
    <w:p w14:paraId="60D987F8" w14:textId="45B99332" w:rsidR="001A6F6F" w:rsidRPr="00016F94" w:rsidRDefault="001A6F6F" w:rsidP="001A6F6F">
      <w:pPr>
        <w:pStyle w:val="Numberedpara"/>
        <w:numPr>
          <w:ilvl w:val="0"/>
          <w:numId w:val="0"/>
        </w:numPr>
        <w:ind w:left="360" w:hanging="360"/>
        <w:rPr>
          <w:color w:val="FF0000"/>
        </w:rPr>
      </w:pPr>
      <w:r w:rsidRPr="00016F94">
        <w:rPr>
          <w:color w:val="FF0000"/>
        </w:rPr>
        <w:t>Financing Gaps</w:t>
      </w:r>
    </w:p>
    <w:p w14:paraId="7A60283D" w14:textId="0549473B" w:rsidR="007E76EA" w:rsidRPr="007E76EA" w:rsidRDefault="007E76EA" w:rsidP="00341D8A">
      <w:pPr>
        <w:pStyle w:val="Numberedpara"/>
      </w:pPr>
      <w:r>
        <w:t xml:space="preserve"> </w:t>
      </w:r>
      <w:r w:rsidRPr="00341D8A">
        <w:rPr>
          <w:b/>
        </w:rPr>
        <w:t>Financing of this plan will also follow a different process to previous reform programs.</w:t>
      </w:r>
      <w:r w:rsidR="00016F94">
        <w:t xml:space="preserve"> Much of the work under the plan</w:t>
      </w:r>
      <w:r>
        <w:t xml:space="preserve"> is core business undertaken by Government staff. As already noted, external assistance is being phased out to the extent possible and many posi</w:t>
      </w:r>
      <w:r w:rsidR="00016F94">
        <w:t>tions are being transferred to T</w:t>
      </w:r>
      <w:r>
        <w:t>ashkeel w</w:t>
      </w:r>
      <w:r w:rsidR="00E701ED">
        <w:t>ith CBR top ups. This reduces the</w:t>
      </w:r>
      <w:r>
        <w:t xml:space="preserve"> need for </w:t>
      </w:r>
      <w:r w:rsidR="00E701ED">
        <w:t xml:space="preserve">additional </w:t>
      </w:r>
      <w:r>
        <w:t>external fin</w:t>
      </w:r>
      <w:r w:rsidR="00341D8A">
        <w:t xml:space="preserve">ancing. </w:t>
      </w:r>
      <w:r w:rsidRPr="007E76EA">
        <w:t xml:space="preserve">There are also some ongoing support programs, such as PFMR2 (World Bank), </w:t>
      </w:r>
      <w:r w:rsidR="00673B39">
        <w:t>the Customs Reform</w:t>
      </w:r>
      <w:r w:rsidR="00E701ED">
        <w:t xml:space="preserve"> </w:t>
      </w:r>
      <w:r w:rsidR="00673B39">
        <w:t>Project</w:t>
      </w:r>
      <w:r w:rsidR="00E701ED">
        <w:t xml:space="preserve"> (World Bank), </w:t>
      </w:r>
      <w:r w:rsidRPr="007E76EA">
        <w:t>support to the performance management system through a grant to the Institute of State Effectiveness</w:t>
      </w:r>
      <w:r w:rsidR="00341D8A">
        <w:t xml:space="preserve"> (</w:t>
      </w:r>
      <w:r w:rsidR="00341D8A" w:rsidRPr="007E76EA">
        <w:t>DFID and Australian Government</w:t>
      </w:r>
      <w:r w:rsidR="00341D8A">
        <w:t>)</w:t>
      </w:r>
      <w:r w:rsidRPr="007E76EA">
        <w:t xml:space="preserve"> and the APFM</w:t>
      </w:r>
      <w:r w:rsidR="00774D69">
        <w:t xml:space="preserve"> program managed by Chemonic</w:t>
      </w:r>
      <w:r w:rsidRPr="007E76EA">
        <w:t xml:space="preserve">s and ASI (USAID). In </w:t>
      </w:r>
      <w:r w:rsidR="00774D69" w:rsidRPr="007E76EA">
        <w:t>addition,</w:t>
      </w:r>
      <w:r w:rsidRPr="007E76EA">
        <w:t xml:space="preserve"> there is a commitment by donors through the ARTF to support a new phase of PFMR3 with a budget of $50 million. </w:t>
      </w:r>
    </w:p>
    <w:p w14:paraId="55F49DD3" w14:textId="75B1BF1E" w:rsidR="007E76EA" w:rsidRDefault="007E76EA" w:rsidP="007E76EA">
      <w:pPr>
        <w:pStyle w:val="Numberedpara"/>
      </w:pPr>
      <w:r w:rsidRPr="007E76EA">
        <w:rPr>
          <w:b/>
        </w:rPr>
        <w:t xml:space="preserve"> </w:t>
      </w:r>
      <w:r w:rsidRPr="00341D8A">
        <w:rPr>
          <w:b/>
        </w:rPr>
        <w:t>In that sense</w:t>
      </w:r>
      <w:r w:rsidR="00774D69" w:rsidRPr="00341D8A">
        <w:rPr>
          <w:b/>
        </w:rPr>
        <w:t>,</w:t>
      </w:r>
      <w:r w:rsidRPr="00341D8A">
        <w:rPr>
          <w:b/>
        </w:rPr>
        <w:t xml:space="preserve"> there is no </w:t>
      </w:r>
      <w:r w:rsidR="00341D8A">
        <w:rPr>
          <w:b/>
        </w:rPr>
        <w:t>major</w:t>
      </w:r>
      <w:r w:rsidR="00256607" w:rsidRPr="00341D8A">
        <w:rPr>
          <w:b/>
        </w:rPr>
        <w:t xml:space="preserve"> </w:t>
      </w:r>
      <w:r w:rsidR="00774D69" w:rsidRPr="00341D8A">
        <w:rPr>
          <w:b/>
        </w:rPr>
        <w:t>financing</w:t>
      </w:r>
      <w:r w:rsidRPr="00341D8A">
        <w:rPr>
          <w:b/>
        </w:rPr>
        <w:t xml:space="preserve"> gap for support of the proposed plan.</w:t>
      </w:r>
      <w:r w:rsidRPr="007E76EA">
        <w:t xml:space="preserve"> There is however</w:t>
      </w:r>
      <w:r w:rsidR="00256607">
        <w:t>,</w:t>
      </w:r>
      <w:r w:rsidRPr="007E76EA">
        <w:t xml:space="preserve"> a need to make sure that support matches priorities (including </w:t>
      </w:r>
      <w:r w:rsidR="00341D8A">
        <w:t>for</w:t>
      </w:r>
      <w:r w:rsidRPr="007E76EA">
        <w:t xml:space="preserve"> institutional capacity building), and that support is timely and fit for purpose. In general, with the development of team based plans owned and managed by the Government, facilities o</w:t>
      </w:r>
      <w:r>
        <w:t>f the kind that have been employed in the past, such as MBAW and SABII are no longer considered by the Government as the most effective way to manage support. Where the Government employs contracted technical assistance</w:t>
      </w:r>
      <w:r w:rsidR="00016F94">
        <w:t>,</w:t>
      </w:r>
      <w:r>
        <w:t xml:space="preserve"> we would prefer a pooled arrangement </w:t>
      </w:r>
      <w:r w:rsidR="00016F94">
        <w:t>linking resources</w:t>
      </w:r>
      <w:r>
        <w:t xml:space="preserve"> to performance through</w:t>
      </w:r>
      <w:r w:rsidR="00341D8A">
        <w:t xml:space="preserve"> the 5-</w:t>
      </w:r>
      <w:r w:rsidR="00673B39">
        <w:t>year plans and not</w:t>
      </w:r>
      <w:r>
        <w:t xml:space="preserve"> ex-ant</w:t>
      </w:r>
      <w:r w:rsidR="00673B39">
        <w:t>e to</w:t>
      </w:r>
      <w:r>
        <w:t xml:space="preserve"> activities</w:t>
      </w:r>
      <w:r w:rsidR="00673B39">
        <w:t xml:space="preserve"> or individual departments</w:t>
      </w:r>
      <w:r>
        <w:t>.</w:t>
      </w:r>
    </w:p>
    <w:p w14:paraId="7CEBCBB8" w14:textId="77777777" w:rsidR="00016F94" w:rsidRDefault="007E76EA" w:rsidP="00341D8A">
      <w:pPr>
        <w:pStyle w:val="Numberedpara"/>
      </w:pPr>
      <w:r>
        <w:t xml:space="preserve"> </w:t>
      </w:r>
      <w:r w:rsidR="00341D8A" w:rsidRPr="00341D8A">
        <w:rPr>
          <w:b/>
        </w:rPr>
        <w:t xml:space="preserve">The Government acknowledges that this will require work from us to meet preconditions set by development partners to enable more effective support arrangements. </w:t>
      </w:r>
      <w:r>
        <w:t xml:space="preserve">To that end this plan sets out a framework for discussion that indicates the Government’s preference for support (see the next </w:t>
      </w:r>
      <w:r w:rsidR="00016F94">
        <w:t>section below). This will form the</w:t>
      </w:r>
      <w:r>
        <w:t xml:space="preserve"> basis for negotiation with donors with the default being donors </w:t>
      </w:r>
      <w:r w:rsidR="00341D8A">
        <w:t xml:space="preserve">providing their support through the ARTF. </w:t>
      </w:r>
    </w:p>
    <w:p w14:paraId="14421202" w14:textId="7D7683CA" w:rsidR="001A6F6F" w:rsidRDefault="00E9748A" w:rsidP="00341D8A">
      <w:pPr>
        <w:pStyle w:val="Numberedpara"/>
      </w:pPr>
      <w:r>
        <w:rPr>
          <w:b/>
        </w:rPr>
        <w:t xml:space="preserve"> </w:t>
      </w:r>
      <w:r w:rsidR="007E76EA" w:rsidRPr="00341D8A">
        <w:rPr>
          <w:b/>
        </w:rPr>
        <w:t>Indicative costing of the external support required for th</w:t>
      </w:r>
      <w:r w:rsidR="00673B39">
        <w:rPr>
          <w:b/>
        </w:rPr>
        <w:t>is inaugural plan is around $25</w:t>
      </w:r>
      <w:r w:rsidR="007E76EA" w:rsidRPr="00341D8A">
        <w:rPr>
          <w:b/>
        </w:rPr>
        <w:t xml:space="preserve"> million</w:t>
      </w:r>
      <w:r w:rsidR="007E76EA">
        <w:t xml:space="preserve"> per year over the next 5 years</w:t>
      </w:r>
      <w:r w:rsidR="00016F94">
        <w:t xml:space="preserve"> or $125 million.</w:t>
      </w:r>
    </w:p>
    <w:p w14:paraId="7B50AF0A" w14:textId="0F50E34E" w:rsidR="001A6F6F" w:rsidRPr="00016F94" w:rsidRDefault="001A6F6F" w:rsidP="001A6F6F">
      <w:pPr>
        <w:pStyle w:val="Numberedpara"/>
        <w:numPr>
          <w:ilvl w:val="0"/>
          <w:numId w:val="0"/>
        </w:numPr>
        <w:ind w:left="360" w:hanging="360"/>
        <w:rPr>
          <w:color w:val="FF0000"/>
        </w:rPr>
      </w:pPr>
      <w:r w:rsidRPr="00016F94">
        <w:rPr>
          <w:color w:val="FF0000"/>
        </w:rPr>
        <w:t>A new framework for support</w:t>
      </w:r>
    </w:p>
    <w:p w14:paraId="0D045545" w14:textId="77777777" w:rsidR="00016F94" w:rsidRDefault="007E76EA" w:rsidP="00A324C8">
      <w:pPr>
        <w:pStyle w:val="Numberedpara"/>
      </w:pPr>
      <w:r>
        <w:t xml:space="preserve"> </w:t>
      </w:r>
      <w:r w:rsidRPr="00341D8A">
        <w:rPr>
          <w:b/>
        </w:rPr>
        <w:t>In line with this Government led and owned process</w:t>
      </w:r>
      <w:r w:rsidR="00016F94">
        <w:rPr>
          <w:b/>
        </w:rPr>
        <w:t xml:space="preserve"> for PFM reforms, the plan</w:t>
      </w:r>
      <w:r w:rsidRPr="00341D8A">
        <w:rPr>
          <w:b/>
        </w:rPr>
        <w:t xml:space="preserve"> also presents a new </w:t>
      </w:r>
      <w:r w:rsidR="00016F94">
        <w:rPr>
          <w:b/>
        </w:rPr>
        <w:t xml:space="preserve">support </w:t>
      </w:r>
      <w:r w:rsidRPr="00341D8A">
        <w:rPr>
          <w:b/>
        </w:rPr>
        <w:t>framework for discussion with donors.</w:t>
      </w:r>
      <w:r>
        <w:t xml:space="preserve"> The Government understands that </w:t>
      </w:r>
      <w:r w:rsidR="006C1950">
        <w:t>a goal of</w:t>
      </w:r>
      <w:r>
        <w:t xml:space="preserve"> more flexible funding including through sector budget support and incentive based mechanisms is not something that can be done immediately. It is however a goal for the Government and so this plan pre</w:t>
      </w:r>
      <w:r w:rsidR="00341D8A">
        <w:t>sents a framework for discussion</w:t>
      </w:r>
      <w:r>
        <w:t xml:space="preserve"> with development partners </w:t>
      </w:r>
      <w:r w:rsidR="00341D8A">
        <w:t xml:space="preserve">on </w:t>
      </w:r>
      <w:r>
        <w:t xml:space="preserve">what the preconditions for more flexible </w:t>
      </w:r>
      <w:r w:rsidRPr="00341D8A">
        <w:t>support might be and how in the longer term</w:t>
      </w:r>
      <w:r w:rsidR="00016F94">
        <w:t xml:space="preserve"> that support would be managed. B</w:t>
      </w:r>
      <w:r w:rsidRPr="00341D8A">
        <w:t>ased around the principle of mutually agreed results and risk sharing.</w:t>
      </w:r>
      <w:r>
        <w:t xml:space="preserve"> </w:t>
      </w:r>
    </w:p>
    <w:p w14:paraId="1E6C153F" w14:textId="2D145A7C" w:rsidR="00311E9A" w:rsidRPr="00A324C8" w:rsidRDefault="00E9748A" w:rsidP="00A324C8">
      <w:pPr>
        <w:pStyle w:val="Numberedpara"/>
        <w:rPr>
          <w:rStyle w:val="Emphasis"/>
          <w:iCs w:val="0"/>
          <w:color w:val="5F5F5F" w:themeColor="text2" w:themeTint="BF"/>
        </w:rPr>
      </w:pPr>
      <w:r>
        <w:rPr>
          <w:b/>
        </w:rPr>
        <w:t xml:space="preserve"> </w:t>
      </w:r>
      <w:r w:rsidR="007E76EA" w:rsidRPr="00016F94">
        <w:rPr>
          <w:b/>
        </w:rPr>
        <w:t>The Government has the goal that this new approach might be put in place by the 2017 fiscal</w:t>
      </w:r>
      <w:r w:rsidR="006C1950" w:rsidRPr="00016F94">
        <w:rPr>
          <w:b/>
        </w:rPr>
        <w:t xml:space="preserve"> year</w:t>
      </w:r>
      <w:r w:rsidR="006C1950">
        <w:t xml:space="preserve"> with some initial donors and</w:t>
      </w:r>
      <w:r w:rsidR="0041769F">
        <w:t xml:space="preserve"> others</w:t>
      </w:r>
      <w:r w:rsidR="007E76EA">
        <w:t xml:space="preserve"> join</w:t>
      </w:r>
      <w:r w:rsidR="0041769F">
        <w:t>ing</w:t>
      </w:r>
      <w:r w:rsidR="007E76EA">
        <w:t xml:space="preserve"> over the next few years.</w:t>
      </w:r>
    </w:p>
    <w:p w14:paraId="065DA76D" w14:textId="2585F09A" w:rsidR="0095431B" w:rsidRPr="001A657C" w:rsidRDefault="002A7498" w:rsidP="00874CB7">
      <w:pPr>
        <w:pStyle w:val="Heading1"/>
        <w:rPr>
          <w:rStyle w:val="Emphasis"/>
        </w:rPr>
      </w:pPr>
      <w:bookmarkStart w:id="4" w:name="_Toc457162617"/>
      <w:r w:rsidRPr="001A657C">
        <w:rPr>
          <w:rStyle w:val="Emphasis"/>
        </w:rPr>
        <w:lastRenderedPageBreak/>
        <w:t>In</w:t>
      </w:r>
      <w:r w:rsidR="00874CB7" w:rsidRPr="001A657C">
        <w:rPr>
          <w:rStyle w:val="Emphasis"/>
        </w:rPr>
        <w:t>t</w:t>
      </w:r>
      <w:r w:rsidRPr="001A657C">
        <w:rPr>
          <w:rStyle w:val="Emphasis"/>
        </w:rPr>
        <w:t>roduction</w:t>
      </w:r>
      <w:bookmarkEnd w:id="4"/>
      <w:r w:rsidRPr="001A657C">
        <w:rPr>
          <w:rStyle w:val="Emphasis"/>
        </w:rPr>
        <w:t xml:space="preserve"> </w:t>
      </w:r>
    </w:p>
    <w:p w14:paraId="6B7815BF" w14:textId="5023CE92" w:rsidR="009A1FEC" w:rsidRDefault="00BA35C1" w:rsidP="00EC65C8">
      <w:pPr>
        <w:pStyle w:val="Numberedpara"/>
      </w:pPr>
      <w:r>
        <w:rPr>
          <w:b/>
        </w:rPr>
        <w:t xml:space="preserve"> </w:t>
      </w:r>
      <w:r w:rsidR="00937988" w:rsidRPr="00BA35C1">
        <w:rPr>
          <w:b/>
        </w:rPr>
        <w:t>This</w:t>
      </w:r>
      <w:r w:rsidR="00BE66E8" w:rsidRPr="00BA35C1">
        <w:rPr>
          <w:b/>
        </w:rPr>
        <w:t xml:space="preserve"> </w:t>
      </w:r>
      <w:r w:rsidR="009A1FEC" w:rsidRPr="00BA35C1">
        <w:rPr>
          <w:b/>
        </w:rPr>
        <w:t>paper represents the</w:t>
      </w:r>
      <w:r w:rsidR="00BE66E8" w:rsidRPr="00BA35C1">
        <w:rPr>
          <w:b/>
        </w:rPr>
        <w:t xml:space="preserve"> inaugural </w:t>
      </w:r>
      <w:r w:rsidR="00256607" w:rsidRPr="00BA35C1">
        <w:rPr>
          <w:b/>
        </w:rPr>
        <w:t>5-year</w:t>
      </w:r>
      <w:r w:rsidR="00BE66E8" w:rsidRPr="00BA35C1">
        <w:rPr>
          <w:b/>
        </w:rPr>
        <w:t xml:space="preserve"> rolling plan for strengthening Afghanistan’s Public Financial Management systems.</w:t>
      </w:r>
      <w:r w:rsidR="00BE66E8">
        <w:t xml:space="preserve"> </w:t>
      </w:r>
      <w:r w:rsidR="00E77075">
        <w:t>It is expected that s</w:t>
      </w:r>
      <w:r w:rsidR="00BE66E8">
        <w:t xml:space="preserve">uccessful implementation of the rolling plan </w:t>
      </w:r>
      <w:r w:rsidR="00E77075">
        <w:t>will</w:t>
      </w:r>
      <w:r w:rsidR="00CC44D6">
        <w:t xml:space="preserve"> deliver on</w:t>
      </w:r>
      <w:r w:rsidR="00BE66E8">
        <w:t xml:space="preserve"> three classic </w:t>
      </w:r>
      <w:r w:rsidR="009A1FEC">
        <w:t xml:space="preserve">public policy </w:t>
      </w:r>
      <w:r w:rsidR="00BE66E8" w:rsidRPr="00742D3C">
        <w:t xml:space="preserve">outcomes: </w:t>
      </w:r>
    </w:p>
    <w:p w14:paraId="6C30A976" w14:textId="77777777" w:rsidR="009A1FEC" w:rsidRDefault="00BE66E8" w:rsidP="00256607">
      <w:pPr>
        <w:pStyle w:val="Numberedpara"/>
        <w:numPr>
          <w:ilvl w:val="1"/>
          <w:numId w:val="4"/>
        </w:numPr>
      </w:pPr>
      <w:r w:rsidRPr="00742D3C">
        <w:t xml:space="preserve">more efficient and effective public services; </w:t>
      </w:r>
    </w:p>
    <w:p w14:paraId="54D25614" w14:textId="71B24953" w:rsidR="009A1FEC" w:rsidRDefault="009A1FEC" w:rsidP="00256607">
      <w:pPr>
        <w:pStyle w:val="Numberedpara"/>
        <w:numPr>
          <w:ilvl w:val="1"/>
          <w:numId w:val="4"/>
        </w:numPr>
      </w:pPr>
      <w:r>
        <w:t>significantly improved fiscal discipline; and</w:t>
      </w:r>
    </w:p>
    <w:p w14:paraId="51ECC71B" w14:textId="5E7C1B67" w:rsidR="00311E9A" w:rsidRPr="00742D3C" w:rsidRDefault="00E77075" w:rsidP="00256607">
      <w:pPr>
        <w:pStyle w:val="Numberedpara"/>
        <w:numPr>
          <w:ilvl w:val="1"/>
          <w:numId w:val="4"/>
        </w:numPr>
      </w:pPr>
      <w:r w:rsidRPr="00742D3C">
        <w:t xml:space="preserve">more </w:t>
      </w:r>
      <w:r w:rsidR="00BE66E8" w:rsidRPr="00742D3C">
        <w:t xml:space="preserve">strategic </w:t>
      </w:r>
      <w:r w:rsidR="009A1FEC">
        <w:t xml:space="preserve">use of </w:t>
      </w:r>
      <w:r w:rsidR="00BE66E8" w:rsidRPr="00742D3C">
        <w:t>fiscal policy</w:t>
      </w:r>
      <w:r w:rsidR="009A1FEC">
        <w:t xml:space="preserve"> as a tool for development</w:t>
      </w:r>
      <w:r w:rsidR="00BE66E8" w:rsidRPr="00742D3C">
        <w:t>.</w:t>
      </w:r>
      <w:r w:rsidR="00BE66E8" w:rsidRPr="009A1FEC">
        <w:rPr>
          <w:b/>
        </w:rPr>
        <w:t xml:space="preserve"> </w:t>
      </w:r>
    </w:p>
    <w:p w14:paraId="3B7A39E6" w14:textId="660A21E4" w:rsidR="00CC44D6" w:rsidRDefault="00BA35C1" w:rsidP="008815F9">
      <w:pPr>
        <w:pStyle w:val="Numberedpara"/>
      </w:pPr>
      <w:r>
        <w:t xml:space="preserve"> </w:t>
      </w:r>
      <w:r w:rsidR="00CC44D6" w:rsidRPr="00BA35C1">
        <w:rPr>
          <w:b/>
        </w:rPr>
        <w:t xml:space="preserve">The development of this </w:t>
      </w:r>
      <w:r w:rsidR="00256607" w:rsidRPr="00BA35C1">
        <w:rPr>
          <w:b/>
        </w:rPr>
        <w:t>5-year</w:t>
      </w:r>
      <w:r w:rsidR="00CC44D6" w:rsidRPr="00BA35C1">
        <w:rPr>
          <w:b/>
        </w:rPr>
        <w:t xml:space="preserve"> rolling plan for fiscal performance improvement</w:t>
      </w:r>
      <w:r w:rsidR="00A324C8">
        <w:rPr>
          <w:b/>
        </w:rPr>
        <w:t xml:space="preserve"> </w:t>
      </w:r>
      <w:r w:rsidR="009A1FEC" w:rsidRPr="00BA35C1">
        <w:rPr>
          <w:b/>
        </w:rPr>
        <w:t>has followed a dif</w:t>
      </w:r>
      <w:r w:rsidR="00CC44D6" w:rsidRPr="00BA35C1">
        <w:rPr>
          <w:b/>
        </w:rPr>
        <w:t>ferent path from the past.</w:t>
      </w:r>
      <w:r w:rsidR="008815F9">
        <w:rPr>
          <w:b/>
        </w:rPr>
        <w:t xml:space="preserve"> </w:t>
      </w:r>
      <w:r w:rsidR="008815F9" w:rsidRPr="008815F9">
        <w:t>The Government recognizes that it needs the support of development partners if it is to succeed,</w:t>
      </w:r>
      <w:r w:rsidR="008815F9">
        <w:t xml:space="preserve"> but also recognizes that for reforms to be achieved there must be a high level of ownership by the Government at all levels.</w:t>
      </w:r>
      <w:r w:rsidR="00CC44D6">
        <w:t xml:space="preserve"> </w:t>
      </w:r>
      <w:r w:rsidR="008815F9">
        <w:t>Development of this plan</w:t>
      </w:r>
      <w:r w:rsidR="00CC44D6">
        <w:t xml:space="preserve"> </w:t>
      </w:r>
      <w:r w:rsidR="008815F9">
        <w:t>has been a</w:t>
      </w:r>
      <w:r w:rsidR="009A1FEC">
        <w:t xml:space="preserve"> </w:t>
      </w:r>
      <w:r w:rsidR="008815F9">
        <w:t>Government driven process</w:t>
      </w:r>
      <w:r w:rsidR="00CC44D6">
        <w:t xml:space="preserve">. </w:t>
      </w:r>
      <w:r w:rsidR="008815F9">
        <w:t>Directors, DGs and ultimately the Minister for Finance and the President formulated and approved t</w:t>
      </w:r>
      <w:r w:rsidR="0041769F">
        <w:t xml:space="preserve">he </w:t>
      </w:r>
      <w:r w:rsidR="008815F9">
        <w:t>team-</w:t>
      </w:r>
      <w:r w:rsidR="0041769F">
        <w:t xml:space="preserve">based plans that underpin this reform strategy. The Performance Management Team has trained teams </w:t>
      </w:r>
      <w:r w:rsidR="008815F9">
        <w:t>in</w:t>
      </w:r>
      <w:r w:rsidR="0041769F">
        <w:t xml:space="preserve"> the use of the performance management system and facilitated discussions but ultimate</w:t>
      </w:r>
      <w:r w:rsidR="008815F9">
        <w:t>ly</w:t>
      </w:r>
      <w:r w:rsidR="0041769F">
        <w:t xml:space="preserve"> </w:t>
      </w:r>
      <w:r w:rsidR="008815F9">
        <w:t>the teams themselves are responsible</w:t>
      </w:r>
      <w:r w:rsidR="0041769F">
        <w:t xml:space="preserve"> for the content, direction and sequencing of refor</w:t>
      </w:r>
      <w:r w:rsidR="008815F9">
        <w:t xml:space="preserve">ms. </w:t>
      </w:r>
    </w:p>
    <w:p w14:paraId="7794BFE7" w14:textId="58895943" w:rsidR="00CC44D6" w:rsidRDefault="00BA35C1" w:rsidP="00EC65C8">
      <w:pPr>
        <w:pStyle w:val="Numberedpara"/>
      </w:pPr>
      <w:r>
        <w:rPr>
          <w:b/>
          <w:i/>
        </w:rPr>
        <w:t xml:space="preserve"> </w:t>
      </w:r>
      <w:r w:rsidR="003D1353" w:rsidRPr="00742D3C">
        <w:rPr>
          <w:b/>
          <w:i/>
        </w:rPr>
        <w:t xml:space="preserve">The first section on “A Team </w:t>
      </w:r>
      <w:r w:rsidR="003D1353" w:rsidRPr="00742D3C">
        <w:rPr>
          <w:b/>
        </w:rPr>
        <w:t>Based</w:t>
      </w:r>
      <w:r w:rsidR="003D1353" w:rsidRPr="00742D3C">
        <w:rPr>
          <w:b/>
          <w:i/>
        </w:rPr>
        <w:t xml:space="preserve"> </w:t>
      </w:r>
      <w:r w:rsidR="00A324C8">
        <w:rPr>
          <w:b/>
          <w:i/>
        </w:rPr>
        <w:t>Performance Management Approach</w:t>
      </w:r>
      <w:r w:rsidR="003D1353" w:rsidRPr="00742D3C">
        <w:rPr>
          <w:b/>
          <w:i/>
        </w:rPr>
        <w:t>”</w:t>
      </w:r>
      <w:r w:rsidR="003D1353" w:rsidRPr="00742D3C">
        <w:t xml:space="preserve"> provides a br</w:t>
      </w:r>
      <w:r w:rsidR="00A324C8">
        <w:t>ief introduction in to the team-</w:t>
      </w:r>
      <w:r w:rsidR="003D1353" w:rsidRPr="00742D3C">
        <w:t xml:space="preserve">based performance management approach used to implement the 5-year rolling plan. It also explains why teams matter, why business plans matter and </w:t>
      </w:r>
      <w:r w:rsidR="00D1637C">
        <w:t>why grading performance matters</w:t>
      </w:r>
      <w:r w:rsidR="00A324C8">
        <w:t>.</w:t>
      </w:r>
      <w:r w:rsidR="00B85534">
        <w:rPr>
          <w:rStyle w:val="FootnoteReference"/>
        </w:rPr>
        <w:footnoteReference w:id="4"/>
      </w:r>
      <w:r w:rsidR="003D1353" w:rsidRPr="00742D3C">
        <w:t xml:space="preserve"> </w:t>
      </w:r>
    </w:p>
    <w:p w14:paraId="4251376D" w14:textId="697B4F81" w:rsidR="00CC44D6" w:rsidRDefault="00BA35C1" w:rsidP="00EC65C8">
      <w:pPr>
        <w:pStyle w:val="Numberedpara"/>
      </w:pPr>
      <w:r>
        <w:rPr>
          <w:b/>
          <w:i/>
        </w:rPr>
        <w:t xml:space="preserve"> </w:t>
      </w:r>
      <w:r w:rsidR="00B85534">
        <w:rPr>
          <w:b/>
          <w:i/>
        </w:rPr>
        <w:t>The second section</w:t>
      </w:r>
      <w:r w:rsidR="0063708E" w:rsidRPr="00742D3C">
        <w:rPr>
          <w:b/>
          <w:i/>
        </w:rPr>
        <w:t xml:space="preserve"> on </w:t>
      </w:r>
      <w:r w:rsidR="003D1353" w:rsidRPr="00742D3C">
        <w:rPr>
          <w:b/>
          <w:i/>
        </w:rPr>
        <w:t>“Team-Led Reforms – Every Team Matters”</w:t>
      </w:r>
      <w:r w:rsidR="003D1353" w:rsidRPr="00742D3C">
        <w:rPr>
          <w:i/>
        </w:rPr>
        <w:t xml:space="preserve"> </w:t>
      </w:r>
      <w:r w:rsidR="003D1353" w:rsidRPr="00742D3C">
        <w:t xml:space="preserve">presents the case for having </w:t>
      </w:r>
      <w:r w:rsidR="0063708E" w:rsidRPr="00742D3C">
        <w:t>plans for all directorates within the Ministry of Finance a</w:t>
      </w:r>
      <w:r w:rsidR="002F55E6">
        <w:t>nd partner agencies involved in</w:t>
      </w:r>
      <w:r w:rsidR="00B85534">
        <w:t xml:space="preserve"> PFM reforms</w:t>
      </w:r>
      <w:r w:rsidR="0092119A">
        <w:t>. This section outlines all</w:t>
      </w:r>
      <w:r w:rsidR="0063708E" w:rsidRPr="00742D3C">
        <w:t xml:space="preserve"> agencies participating </w:t>
      </w:r>
      <w:r w:rsidR="00B85534">
        <w:t xml:space="preserve">in this first year, </w:t>
      </w:r>
      <w:r w:rsidR="0063708E" w:rsidRPr="00742D3C">
        <w:t xml:space="preserve">as well as </w:t>
      </w:r>
      <w:r w:rsidR="0092119A">
        <w:t>the</w:t>
      </w:r>
      <w:r w:rsidR="0063708E" w:rsidRPr="00742D3C">
        <w:t xml:space="preserve"> expansion of the program</w:t>
      </w:r>
      <w:r w:rsidR="00B85534">
        <w:t xml:space="preserve"> over the next few years</w:t>
      </w:r>
      <w:r w:rsidR="0063708E" w:rsidRPr="00742D3C">
        <w:t xml:space="preserve">. </w:t>
      </w:r>
      <w:r w:rsidR="00D1637C">
        <w:t>It also provides a</w:t>
      </w:r>
      <w:r w:rsidR="0063708E" w:rsidRPr="00742D3C">
        <w:t xml:space="preserve"> summary o</w:t>
      </w:r>
      <w:r w:rsidR="0092119A">
        <w:t>f the</w:t>
      </w:r>
      <w:r w:rsidR="00D1637C">
        <w:t xml:space="preserve"> Flagship Reforms</w:t>
      </w:r>
      <w:r w:rsidR="0063708E" w:rsidRPr="00742D3C">
        <w:t xml:space="preserve"> along with a</w:t>
      </w:r>
      <w:r w:rsidR="003D1353" w:rsidRPr="00742D3C">
        <w:t>spi</w:t>
      </w:r>
      <w:r w:rsidR="00890464" w:rsidRPr="00742D3C">
        <w:t xml:space="preserve">rational </w:t>
      </w:r>
      <w:r w:rsidR="0063708E" w:rsidRPr="00742D3C">
        <w:t>targets</w:t>
      </w:r>
      <w:r w:rsidR="0092119A">
        <w:t xml:space="preserve"> for</w:t>
      </w:r>
      <w:r w:rsidR="00B85534">
        <w:t xml:space="preserve"> international benchmarks</w:t>
      </w:r>
      <w:r w:rsidR="0063708E" w:rsidRPr="00742D3C">
        <w:t xml:space="preserve">. </w:t>
      </w:r>
    </w:p>
    <w:p w14:paraId="798FB43A" w14:textId="5868E855" w:rsidR="00CC44D6" w:rsidRDefault="00BA35C1" w:rsidP="00EC65C8">
      <w:pPr>
        <w:pStyle w:val="Numberedpara"/>
      </w:pPr>
      <w:r>
        <w:rPr>
          <w:b/>
          <w:i/>
        </w:rPr>
        <w:t xml:space="preserve"> </w:t>
      </w:r>
      <w:r w:rsidR="0063708E" w:rsidRPr="00742D3C">
        <w:rPr>
          <w:b/>
          <w:i/>
        </w:rPr>
        <w:t xml:space="preserve">The third section discusses </w:t>
      </w:r>
      <w:r w:rsidR="003D1353" w:rsidRPr="00742D3C">
        <w:rPr>
          <w:b/>
          <w:i/>
        </w:rPr>
        <w:t>Risk-Return Prof</w:t>
      </w:r>
      <w:r w:rsidR="00890464" w:rsidRPr="00742D3C">
        <w:rPr>
          <w:b/>
          <w:i/>
        </w:rPr>
        <w:t>iles</w:t>
      </w:r>
      <w:r w:rsidR="0063708E" w:rsidRPr="00742D3C">
        <w:rPr>
          <w:i/>
        </w:rPr>
        <w:t xml:space="preserve"> </w:t>
      </w:r>
      <w:r w:rsidR="00A324C8">
        <w:t>of the activities</w:t>
      </w:r>
      <w:r w:rsidR="0063708E" w:rsidRPr="00742D3C">
        <w:t xml:space="preserve"> unde</w:t>
      </w:r>
      <w:r w:rsidR="00CC44D6">
        <w:t xml:space="preserve">r </w:t>
      </w:r>
      <w:r w:rsidR="00A324C8">
        <w:t>the plan</w:t>
      </w:r>
      <w:r w:rsidR="00CC44D6">
        <w:t xml:space="preserve">. It discusses </w:t>
      </w:r>
      <w:r w:rsidR="0063708E" w:rsidRPr="00742D3C">
        <w:t xml:space="preserve">the </w:t>
      </w:r>
      <w:r w:rsidR="002F55E6">
        <w:t xml:space="preserve">expected </w:t>
      </w:r>
      <w:r w:rsidR="0063708E" w:rsidRPr="00742D3C">
        <w:t xml:space="preserve">impact </w:t>
      </w:r>
      <w:r w:rsidR="00B85534">
        <w:t xml:space="preserve">of reforms </w:t>
      </w:r>
      <w:r w:rsidR="0063708E" w:rsidRPr="00742D3C">
        <w:t xml:space="preserve">and </w:t>
      </w:r>
      <w:r w:rsidR="00B85534">
        <w:t xml:space="preserve">the </w:t>
      </w:r>
      <w:r w:rsidR="0063708E" w:rsidRPr="00742D3C">
        <w:t>risk of f</w:t>
      </w:r>
      <w:r w:rsidR="00B85534">
        <w:t>ailure of the activities</w:t>
      </w:r>
      <w:r w:rsidR="00D1637C">
        <w:t xml:space="preserve"> in the plan both in aggregate and for some key teams</w:t>
      </w:r>
      <w:r w:rsidR="008249F0" w:rsidRPr="00742D3C">
        <w:t xml:space="preserve">. </w:t>
      </w:r>
    </w:p>
    <w:p w14:paraId="3E1460B9" w14:textId="0E1B3E2F" w:rsidR="00BA35C1" w:rsidRDefault="00BA35C1" w:rsidP="00BA35C1">
      <w:pPr>
        <w:pStyle w:val="Numberedpara"/>
      </w:pPr>
      <w:r>
        <w:rPr>
          <w:b/>
          <w:i/>
        </w:rPr>
        <w:t xml:space="preserve"> </w:t>
      </w:r>
      <w:r w:rsidR="008249F0" w:rsidRPr="00742D3C">
        <w:rPr>
          <w:b/>
          <w:i/>
        </w:rPr>
        <w:t xml:space="preserve">The fourth section on </w:t>
      </w:r>
      <w:r w:rsidR="003D1353" w:rsidRPr="00742D3C">
        <w:rPr>
          <w:b/>
          <w:i/>
        </w:rPr>
        <w:t>Staffing Prioritie</w:t>
      </w:r>
      <w:r w:rsidR="008249F0" w:rsidRPr="00742D3C">
        <w:rPr>
          <w:b/>
          <w:i/>
        </w:rPr>
        <w:t>s</w:t>
      </w:r>
      <w:r w:rsidR="008249F0" w:rsidRPr="00742D3C">
        <w:rPr>
          <w:b/>
        </w:rPr>
        <w:t xml:space="preserve"> </w:t>
      </w:r>
      <w:r w:rsidR="008249F0" w:rsidRPr="00742D3C">
        <w:t>describes gaps in capacity and</w:t>
      </w:r>
      <w:r w:rsidR="00A324C8">
        <w:t xml:space="preserve"> technical a</w:t>
      </w:r>
      <w:r w:rsidR="00890464" w:rsidRPr="00742D3C">
        <w:t>ssistance</w:t>
      </w:r>
      <w:r w:rsidR="00A324C8">
        <w:t xml:space="preserve"> (TA)</w:t>
      </w:r>
      <w:r w:rsidR="00890464" w:rsidRPr="00742D3C">
        <w:t xml:space="preserve"> </w:t>
      </w:r>
      <w:r w:rsidR="008249F0" w:rsidRPr="00742D3C">
        <w:t xml:space="preserve">requirements.  </w:t>
      </w:r>
    </w:p>
    <w:p w14:paraId="3D838BE8" w14:textId="672728E9" w:rsidR="00CC44D6" w:rsidRPr="00BA35C1" w:rsidRDefault="00BA35C1" w:rsidP="00BA35C1">
      <w:pPr>
        <w:pStyle w:val="Numberedpara"/>
      </w:pPr>
      <w:r>
        <w:rPr>
          <w:b/>
          <w:i/>
        </w:rPr>
        <w:t xml:space="preserve"> </w:t>
      </w:r>
      <w:r w:rsidR="008249F0" w:rsidRPr="00BA35C1">
        <w:rPr>
          <w:b/>
        </w:rPr>
        <w:t>The fifth section covers f</w:t>
      </w:r>
      <w:r w:rsidR="00890464" w:rsidRPr="00BA35C1">
        <w:rPr>
          <w:b/>
        </w:rPr>
        <w:t xml:space="preserve">inancing </w:t>
      </w:r>
      <w:r w:rsidR="008249F0" w:rsidRPr="00BA35C1">
        <w:rPr>
          <w:b/>
        </w:rPr>
        <w:t xml:space="preserve">requirements to help deliver successful reform. </w:t>
      </w:r>
    </w:p>
    <w:p w14:paraId="1A40CC53" w14:textId="2CB8E765" w:rsidR="0095431B" w:rsidRPr="0092119A" w:rsidRDefault="00BA35C1" w:rsidP="00EC65C8">
      <w:pPr>
        <w:pStyle w:val="Numberedpara"/>
        <w:rPr>
          <w:rStyle w:val="Emphasis"/>
          <w:iCs w:val="0"/>
          <w:color w:val="5F5F5F" w:themeColor="text2" w:themeTint="BF"/>
        </w:rPr>
      </w:pPr>
      <w:r>
        <w:rPr>
          <w:b/>
          <w:i/>
        </w:rPr>
        <w:t xml:space="preserve"> </w:t>
      </w:r>
      <w:r w:rsidR="008249F0" w:rsidRPr="00742D3C">
        <w:rPr>
          <w:b/>
          <w:i/>
        </w:rPr>
        <w:t xml:space="preserve">The final section presents the </w:t>
      </w:r>
      <w:r w:rsidR="003D1353" w:rsidRPr="00742D3C">
        <w:rPr>
          <w:b/>
          <w:i/>
        </w:rPr>
        <w:t>Government’s Sector Budget Support Policy Framework</w:t>
      </w:r>
      <w:r w:rsidR="008249F0" w:rsidRPr="00742D3C">
        <w:t xml:space="preserve"> as a </w:t>
      </w:r>
      <w:r w:rsidR="00D1637C">
        <w:t xml:space="preserve">(potential) </w:t>
      </w:r>
      <w:r w:rsidR="008249F0" w:rsidRPr="00742D3C">
        <w:t>core financing and performance monitoring mechanism</w:t>
      </w:r>
      <w:r w:rsidR="00D1637C">
        <w:t>. This framework forms</w:t>
      </w:r>
      <w:r w:rsidR="00A324C8">
        <w:t xml:space="preserve"> the basis for discussions over the n</w:t>
      </w:r>
      <w:r w:rsidR="00D1637C">
        <w:t xml:space="preserve">ext 12 months on </w:t>
      </w:r>
      <w:r w:rsidR="00A324C8">
        <w:t xml:space="preserve">more effective support for </w:t>
      </w:r>
      <w:r w:rsidR="00D1637C">
        <w:t xml:space="preserve">PFM </w:t>
      </w:r>
      <w:r w:rsidR="00A324C8">
        <w:t>reforms and what preco</w:t>
      </w:r>
      <w:r w:rsidR="00D1637C">
        <w:t>nditions will be required by development partners for them to consider targeted sector budget support.</w:t>
      </w:r>
      <w:r w:rsidR="00A324C8">
        <w:t xml:space="preserve"> </w:t>
      </w:r>
      <w:r w:rsidR="008249F0" w:rsidRPr="00742D3C">
        <w:t xml:space="preserve"> </w:t>
      </w:r>
      <w:r w:rsidR="0095431B" w:rsidRPr="0092119A">
        <w:rPr>
          <w:rStyle w:val="Emphasis"/>
        </w:rPr>
        <w:br w:type="page"/>
      </w:r>
    </w:p>
    <w:p w14:paraId="42EB5D3A" w14:textId="7391022C" w:rsidR="001B3CBD" w:rsidRDefault="009776B9" w:rsidP="00A262B6">
      <w:pPr>
        <w:pStyle w:val="Heading1"/>
      </w:pPr>
      <w:bookmarkStart w:id="5" w:name="_Toc457162618"/>
      <w:r>
        <w:rPr>
          <w:rStyle w:val="Emphasis"/>
        </w:rPr>
        <w:lastRenderedPageBreak/>
        <w:t>Afghanistan’s inaugural 5-Year Rolling plan</w:t>
      </w:r>
      <w:bookmarkEnd w:id="5"/>
      <w:r w:rsidR="00253700" w:rsidRPr="00FE5C2E">
        <w:t xml:space="preserve"> </w:t>
      </w:r>
    </w:p>
    <w:p w14:paraId="5A644213" w14:textId="108ACC58" w:rsidR="00BF1E4F" w:rsidRDefault="009776B9" w:rsidP="00060715">
      <w:pPr>
        <w:pStyle w:val="Heading2"/>
      </w:pPr>
      <w:bookmarkStart w:id="6" w:name="_Toc457162619"/>
      <w:r>
        <w:t>A</w:t>
      </w:r>
      <w:r w:rsidR="00BF1E4F" w:rsidRPr="00FE5C2E">
        <w:t xml:space="preserve"> </w:t>
      </w:r>
      <w:r w:rsidR="00452E08" w:rsidRPr="009776B9">
        <w:t>Team Based P</w:t>
      </w:r>
      <w:r w:rsidR="00F31C54" w:rsidRPr="009776B9">
        <w:t>erformance Management</w:t>
      </w:r>
      <w:r w:rsidR="006D2388">
        <w:t xml:space="preserve"> </w:t>
      </w:r>
      <w:r w:rsidR="006D2388" w:rsidRPr="005C6DE7">
        <w:t>Approach</w:t>
      </w:r>
      <w:bookmarkEnd w:id="6"/>
    </w:p>
    <w:p w14:paraId="659A74BA" w14:textId="30EFA5E2" w:rsidR="009776B9" w:rsidRDefault="00BA35C1" w:rsidP="00EC65C8">
      <w:pPr>
        <w:pStyle w:val="Numberedpara"/>
      </w:pPr>
      <w:r>
        <w:rPr>
          <w:b/>
        </w:rPr>
        <w:t xml:space="preserve"> </w:t>
      </w:r>
      <w:r w:rsidR="008F283F">
        <w:rPr>
          <w:b/>
        </w:rPr>
        <w:t>This section briefly introduces</w:t>
      </w:r>
      <w:r w:rsidR="00496ABB" w:rsidRPr="00F976CB">
        <w:rPr>
          <w:b/>
        </w:rPr>
        <w:t xml:space="preserve"> </w:t>
      </w:r>
      <w:r w:rsidR="00F976CB" w:rsidRPr="00F976CB">
        <w:rPr>
          <w:b/>
        </w:rPr>
        <w:t xml:space="preserve">the </w:t>
      </w:r>
      <w:r w:rsidR="008F283F">
        <w:rPr>
          <w:b/>
        </w:rPr>
        <w:t>team-</w:t>
      </w:r>
      <w:r w:rsidR="00496ABB" w:rsidRPr="00F976CB">
        <w:rPr>
          <w:b/>
        </w:rPr>
        <w:t>based performance management</w:t>
      </w:r>
      <w:r w:rsidR="00F976CB" w:rsidRPr="00F976CB">
        <w:rPr>
          <w:b/>
        </w:rPr>
        <w:t xml:space="preserve"> approach</w:t>
      </w:r>
      <w:r w:rsidR="00F976CB">
        <w:t xml:space="preserve"> used to implement the 5-year rolling plan</w:t>
      </w:r>
      <w:r w:rsidR="00496ABB">
        <w:t xml:space="preserve">. </w:t>
      </w:r>
      <w:r w:rsidR="00F976CB">
        <w:t>It explains why teams matter, why business plans matter and w</w:t>
      </w:r>
      <w:r w:rsidR="00496ABB">
        <w:t xml:space="preserve">hy grading </w:t>
      </w:r>
      <w:r w:rsidR="00F976CB">
        <w:t xml:space="preserve">performance </w:t>
      </w:r>
      <w:r w:rsidR="00496ABB">
        <w:t xml:space="preserve">matters. </w:t>
      </w:r>
      <w:r w:rsidR="00F976CB">
        <w:t xml:space="preserve">This section describes how the performance management system works – with </w:t>
      </w:r>
      <w:r w:rsidR="00B85534">
        <w:t xml:space="preserve">a focus on </w:t>
      </w:r>
      <w:r w:rsidR="00F976CB">
        <w:t>systems</w:t>
      </w:r>
      <w:r w:rsidR="00B85534">
        <w:t xml:space="preserve"> that help</w:t>
      </w:r>
      <w:r w:rsidR="00877932">
        <w:t xml:space="preserve"> tea</w:t>
      </w:r>
      <w:r w:rsidR="00716DE0">
        <w:t>ms work on</w:t>
      </w:r>
      <w:r w:rsidR="00877932">
        <w:t xml:space="preserve"> implementation</w:t>
      </w:r>
      <w:r w:rsidR="00B85534">
        <w:t xml:space="preserve"> of their reforms</w:t>
      </w:r>
      <w:r w:rsidR="00877932">
        <w:t xml:space="preserve">. </w:t>
      </w:r>
    </w:p>
    <w:p w14:paraId="2A08E3A1" w14:textId="138C6D46" w:rsidR="00DD785A" w:rsidRDefault="00BA35C1" w:rsidP="00EC65C8">
      <w:pPr>
        <w:pStyle w:val="Numberedpara"/>
      </w:pPr>
      <w:r>
        <w:rPr>
          <w:b/>
        </w:rPr>
        <w:t xml:space="preserve"> </w:t>
      </w:r>
      <w:r w:rsidR="00DD785A" w:rsidRPr="00DE09EF">
        <w:rPr>
          <w:b/>
        </w:rPr>
        <w:t>Conflict affected and fragile states are difficult operating environments</w:t>
      </w:r>
      <w:r w:rsidR="008F283F">
        <w:t xml:space="preserve">. </w:t>
      </w:r>
      <w:r w:rsidR="00552B34">
        <w:t>Often, blame for l</w:t>
      </w:r>
      <w:r w:rsidR="00552B34" w:rsidRPr="00DE09EF">
        <w:t>ow</w:t>
      </w:r>
      <w:r w:rsidR="00552B34">
        <w:t xml:space="preserve"> levels of</w:t>
      </w:r>
      <w:r w:rsidR="00552B34" w:rsidRPr="00DE09EF">
        <w:t xml:space="preserve"> Government ownership and heavy reliance on technical assistance</w:t>
      </w:r>
      <w:r w:rsidR="00552B34">
        <w:t xml:space="preserve"> focusses on perceptions of</w:t>
      </w:r>
      <w:r w:rsidR="00DD785A" w:rsidRPr="00DE09EF">
        <w:t xml:space="preserve"> low capacity. Afghanistan has to some extent suffered from the same issues, but the Government is committed to changes that will build the cre</w:t>
      </w:r>
      <w:r w:rsidR="00DD785A">
        <w:t>dibility of the state</w:t>
      </w:r>
      <w:r w:rsidR="00DD785A" w:rsidRPr="00DE09EF">
        <w:t xml:space="preserve">. </w:t>
      </w:r>
      <w:r w:rsidR="00257DB1">
        <w:t xml:space="preserve">One of the key mechanisms the Government is utilizing to build capacity and credibility is through team-based performance management. </w:t>
      </w:r>
    </w:p>
    <w:p w14:paraId="5F3AD91B" w14:textId="00E020F7" w:rsidR="00257DB1" w:rsidRDefault="00E9748A" w:rsidP="00EC65C8">
      <w:pPr>
        <w:pStyle w:val="Numberedpara"/>
        <w:rPr>
          <w:lang w:val="en-US"/>
        </w:rPr>
      </w:pPr>
      <w:r>
        <w:rPr>
          <w:b/>
        </w:rPr>
        <w:t xml:space="preserve"> </w:t>
      </w:r>
      <w:r w:rsidR="00257DB1" w:rsidRPr="00BA35C1">
        <w:rPr>
          <w:b/>
        </w:rPr>
        <w:t>Team-based performance management is at heart of the Realizing Self-Reliance agenda</w:t>
      </w:r>
      <w:r w:rsidR="00A324C8">
        <w:rPr>
          <w:b/>
        </w:rPr>
        <w:t>.</w:t>
      </w:r>
      <w:r w:rsidR="00257DB1" w:rsidRPr="00BA35C1">
        <w:rPr>
          <w:rStyle w:val="FootnoteReference"/>
          <w:b/>
          <w:bCs/>
          <w:lang w:val="en-IE"/>
        </w:rPr>
        <w:footnoteReference w:id="5"/>
      </w:r>
      <w:r w:rsidR="00257DB1" w:rsidRPr="00D60DF1">
        <w:t xml:space="preserve"> </w:t>
      </w:r>
      <w:r w:rsidR="00257DB1" w:rsidRPr="00086749">
        <w:t xml:space="preserve">Team-based </w:t>
      </w:r>
      <w:r w:rsidR="00257DB1" w:rsidRPr="00086749">
        <w:rPr>
          <w:lang w:val="en-US"/>
        </w:rPr>
        <w:t>Performance</w:t>
      </w:r>
      <w:r w:rsidR="00552B34">
        <w:rPr>
          <w:lang w:val="en-US"/>
        </w:rPr>
        <w:t xml:space="preserve"> M</w:t>
      </w:r>
      <w:r w:rsidR="00257DB1">
        <w:rPr>
          <w:lang w:val="en-US"/>
        </w:rPr>
        <w:t xml:space="preserve">anagement </w:t>
      </w:r>
      <w:r w:rsidR="00552B34">
        <w:rPr>
          <w:lang w:val="en-US"/>
        </w:rPr>
        <w:t>in this context is</w:t>
      </w:r>
      <w:r w:rsidR="00257DB1">
        <w:rPr>
          <w:lang w:val="en-US"/>
        </w:rPr>
        <w:t xml:space="preserve"> </w:t>
      </w:r>
      <w:r w:rsidR="00257DB1" w:rsidRPr="00D60DF1">
        <w:rPr>
          <w:lang w:val="en-US"/>
        </w:rPr>
        <w:t>designed to</w:t>
      </w:r>
      <w:r w:rsidR="00257DB1">
        <w:rPr>
          <w:lang w:val="en-US"/>
        </w:rPr>
        <w:t xml:space="preserve">: </w:t>
      </w:r>
    </w:p>
    <w:p w14:paraId="6FA7DBC3" w14:textId="71890309" w:rsidR="00257DB1" w:rsidRPr="00D60DF1" w:rsidRDefault="00257DB1" w:rsidP="006C1DFF">
      <w:pPr>
        <w:pStyle w:val="ListBullet"/>
      </w:pPr>
      <w:r w:rsidRPr="00D60DF1">
        <w:rPr>
          <w:b/>
          <w:i/>
        </w:rPr>
        <w:t xml:space="preserve">Ensure </w:t>
      </w:r>
      <w:r w:rsidRPr="00D60DF1">
        <w:rPr>
          <w:b/>
          <w:i/>
          <w:lang w:val="en-IE"/>
        </w:rPr>
        <w:t>Officials Run Ministries</w:t>
      </w:r>
      <w:r w:rsidRPr="00D60DF1">
        <w:rPr>
          <w:lang w:val="en-IE"/>
        </w:rPr>
        <w:t xml:space="preserve"> </w:t>
      </w:r>
      <w:r>
        <w:rPr>
          <w:lang w:val="en-IE"/>
        </w:rPr>
        <w:t xml:space="preserve">– not Advisors, </w:t>
      </w:r>
      <w:r w:rsidRPr="00D60DF1">
        <w:rPr>
          <w:lang w:val="en-IE"/>
        </w:rPr>
        <w:t>Consultants</w:t>
      </w:r>
      <w:r>
        <w:rPr>
          <w:lang w:val="en-IE"/>
        </w:rPr>
        <w:t xml:space="preserve"> or other </w:t>
      </w:r>
      <w:r w:rsidRPr="006C1DFF">
        <w:rPr>
          <w:lang w:val="en-GB"/>
        </w:rPr>
        <w:t>stakeholders</w:t>
      </w:r>
      <w:r w:rsidRPr="00AD7BD8">
        <w:rPr>
          <w:lang w:val="en-IE"/>
        </w:rPr>
        <w:t xml:space="preserve">; </w:t>
      </w:r>
    </w:p>
    <w:p w14:paraId="15A6CAD1" w14:textId="5B410D2F" w:rsidR="00257DB1" w:rsidRPr="00D60DF1" w:rsidRDefault="00257DB1" w:rsidP="006C1DFF">
      <w:pPr>
        <w:pStyle w:val="ListBullet"/>
      </w:pPr>
      <w:r w:rsidRPr="00D60DF1">
        <w:rPr>
          <w:b/>
          <w:i/>
          <w:lang w:val="en-IE"/>
        </w:rPr>
        <w:t xml:space="preserve">Improve </w:t>
      </w:r>
      <w:r>
        <w:rPr>
          <w:b/>
          <w:i/>
          <w:lang w:val="en-IE"/>
        </w:rPr>
        <w:t xml:space="preserve">the </w:t>
      </w:r>
      <w:r w:rsidRPr="00D60DF1">
        <w:rPr>
          <w:b/>
          <w:i/>
          <w:lang w:val="en-IE"/>
        </w:rPr>
        <w:t>Quality of Spending</w:t>
      </w:r>
      <w:r w:rsidRPr="00D60DF1">
        <w:rPr>
          <w:lang w:val="en-IE"/>
        </w:rPr>
        <w:t xml:space="preserve"> – </w:t>
      </w:r>
      <w:r>
        <w:rPr>
          <w:lang w:val="en-IE"/>
        </w:rPr>
        <w:t xml:space="preserve">implementers are clear on their </w:t>
      </w:r>
      <w:r w:rsidRPr="006C1DFF">
        <w:rPr>
          <w:lang w:val="en-GB"/>
        </w:rPr>
        <w:t>responsibilities</w:t>
      </w:r>
      <w:r>
        <w:rPr>
          <w:lang w:val="en-IE"/>
        </w:rPr>
        <w:t xml:space="preserve"> and stakeholders</w:t>
      </w:r>
      <w:r w:rsidRPr="00D60DF1">
        <w:rPr>
          <w:lang w:val="en-IE"/>
        </w:rPr>
        <w:t xml:space="preserve"> know why</w:t>
      </w:r>
      <w:r>
        <w:rPr>
          <w:lang w:val="en-IE"/>
        </w:rPr>
        <w:t xml:space="preserve">, </w:t>
      </w:r>
      <w:r w:rsidRPr="00D60DF1">
        <w:rPr>
          <w:lang w:val="en-IE"/>
        </w:rPr>
        <w:t>how</w:t>
      </w:r>
      <w:r>
        <w:rPr>
          <w:lang w:val="en-IE"/>
        </w:rPr>
        <w:t>, what and where reform and spending happens; and</w:t>
      </w:r>
    </w:p>
    <w:p w14:paraId="01EFCF44" w14:textId="1B40FA61" w:rsidR="00E67775" w:rsidRPr="00DE09EF" w:rsidRDefault="00257DB1" w:rsidP="00E67775">
      <w:pPr>
        <w:pStyle w:val="ListBullet"/>
      </w:pPr>
      <w:r w:rsidRPr="00D60DF1">
        <w:rPr>
          <w:b/>
          <w:i/>
        </w:rPr>
        <w:t xml:space="preserve">Set the foundations for </w:t>
      </w:r>
      <w:r w:rsidRPr="00D60DF1">
        <w:rPr>
          <w:b/>
          <w:i/>
          <w:lang w:val="en-IE"/>
        </w:rPr>
        <w:t>Donors to link financial assistance to performance</w:t>
      </w:r>
      <w:r>
        <w:rPr>
          <w:lang w:val="en-IE"/>
        </w:rPr>
        <w:t xml:space="preserve"> - when </w:t>
      </w:r>
      <w:r w:rsidRPr="006C1DFF">
        <w:rPr>
          <w:lang w:val="en-GB"/>
        </w:rPr>
        <w:t>conditions</w:t>
      </w:r>
      <w:r>
        <w:rPr>
          <w:lang w:val="en-IE"/>
        </w:rPr>
        <w:t xml:space="preserve"> are right for a donor. </w:t>
      </w:r>
    </w:p>
    <w:p w14:paraId="5B186B11" w14:textId="02CABC5D" w:rsidR="00257DB1" w:rsidRPr="00FE5C2E" w:rsidRDefault="00257DB1" w:rsidP="00A324C8">
      <w:pPr>
        <w:pStyle w:val="Boxheader"/>
      </w:pPr>
      <w:bookmarkStart w:id="7" w:name="_Ref282085194"/>
      <w:bookmarkStart w:id="8" w:name="_Toc430414693"/>
      <w:bookmarkStart w:id="9" w:name="_Toc457162664"/>
      <w:r w:rsidRPr="00FE5C2E">
        <w:t>Why Team Based Performance Matters</w:t>
      </w:r>
      <w:bookmarkEnd w:id="7"/>
      <w:bookmarkEnd w:id="8"/>
      <w:bookmarkEnd w:id="9"/>
    </w:p>
    <w:p w14:paraId="1CCC971A" w14:textId="77777777" w:rsidR="00804C5C" w:rsidRDefault="00257DB1" w:rsidP="00EC65C8">
      <w:pPr>
        <w:pStyle w:val="BOXBODY"/>
      </w:pPr>
      <w:r w:rsidRPr="003549FF">
        <w:t xml:space="preserve">Team based performance matters to leadership and reflects 5 core values. </w:t>
      </w:r>
    </w:p>
    <w:p w14:paraId="52D054E6" w14:textId="6FCD86F3" w:rsidR="00257DB1" w:rsidRPr="00D13363" w:rsidRDefault="00257DB1" w:rsidP="00EC65C8">
      <w:pPr>
        <w:pStyle w:val="BOXBODY"/>
      </w:pPr>
      <w:r w:rsidRPr="00D13363">
        <w:t>We Believe That:</w:t>
      </w:r>
    </w:p>
    <w:p w14:paraId="1D55E0B6" w14:textId="5FA4D29D" w:rsidR="00257DB1" w:rsidRPr="00D13363" w:rsidRDefault="0052459C" w:rsidP="00EC65C8">
      <w:pPr>
        <w:pStyle w:val="BOXBODY"/>
        <w:rPr>
          <w:b w:val="0"/>
        </w:rPr>
      </w:pPr>
      <w:r w:rsidRPr="00D13363">
        <w:rPr>
          <w:b w:val="0"/>
        </w:rPr>
        <w:t>1.</w:t>
      </w:r>
      <w:r w:rsidR="00257DB1" w:rsidRPr="00D13363">
        <w:rPr>
          <w:b w:val="0"/>
        </w:rPr>
        <w:t xml:space="preserve"> Strong Teams Deliver the Best Results</w:t>
      </w:r>
    </w:p>
    <w:p w14:paraId="029A61D7" w14:textId="1413074F" w:rsidR="00257DB1" w:rsidRPr="00D13363" w:rsidRDefault="0052459C" w:rsidP="00EC65C8">
      <w:pPr>
        <w:pStyle w:val="BOXBODY"/>
        <w:rPr>
          <w:b w:val="0"/>
        </w:rPr>
      </w:pPr>
      <w:r w:rsidRPr="00D13363">
        <w:rPr>
          <w:b w:val="0"/>
        </w:rPr>
        <w:t>2.</w:t>
      </w:r>
      <w:r w:rsidR="00257DB1" w:rsidRPr="00D13363">
        <w:rPr>
          <w:b w:val="0"/>
        </w:rPr>
        <w:t xml:space="preserve"> Every Team and Every Team Member Matters</w:t>
      </w:r>
    </w:p>
    <w:p w14:paraId="77A81FA9" w14:textId="2BDE5035" w:rsidR="00257DB1" w:rsidRPr="00D13363" w:rsidRDefault="0052459C" w:rsidP="00EC65C8">
      <w:pPr>
        <w:pStyle w:val="BOXBODY"/>
        <w:rPr>
          <w:b w:val="0"/>
        </w:rPr>
      </w:pPr>
      <w:r w:rsidRPr="00D13363">
        <w:rPr>
          <w:b w:val="0"/>
        </w:rPr>
        <w:t>3.</w:t>
      </w:r>
      <w:r w:rsidR="00257DB1" w:rsidRPr="00D13363">
        <w:rPr>
          <w:b w:val="0"/>
        </w:rPr>
        <w:t xml:space="preserve"> Measuring, Rating and Ranking Performance Helps Teams Work Better and Deliver Better Results</w:t>
      </w:r>
    </w:p>
    <w:p w14:paraId="07D39D32" w14:textId="7B00705D" w:rsidR="00257DB1" w:rsidRPr="00D13363" w:rsidRDefault="0052459C" w:rsidP="00EC65C8">
      <w:pPr>
        <w:pStyle w:val="BOXBODY"/>
        <w:rPr>
          <w:b w:val="0"/>
        </w:rPr>
      </w:pPr>
      <w:r w:rsidRPr="00D13363">
        <w:rPr>
          <w:b w:val="0"/>
        </w:rPr>
        <w:t>4.</w:t>
      </w:r>
      <w:r w:rsidR="00257DB1" w:rsidRPr="00D13363">
        <w:rPr>
          <w:b w:val="0"/>
        </w:rPr>
        <w:t xml:space="preserve"> We Must Recognize Efforts of Hard Working Teams and Help Those Teams Who Need It The Most</w:t>
      </w:r>
    </w:p>
    <w:p w14:paraId="3ABF158F" w14:textId="05590987" w:rsidR="00804C5C" w:rsidRPr="00D13363" w:rsidRDefault="0052459C" w:rsidP="00EC65C8">
      <w:pPr>
        <w:pStyle w:val="BOXBODY"/>
        <w:rPr>
          <w:b w:val="0"/>
        </w:rPr>
      </w:pPr>
      <w:r w:rsidRPr="00D13363">
        <w:rPr>
          <w:b w:val="0"/>
        </w:rPr>
        <w:t>5.</w:t>
      </w:r>
      <w:r w:rsidR="00257DB1" w:rsidRPr="00D13363">
        <w:rPr>
          <w:b w:val="0"/>
        </w:rPr>
        <w:t xml:space="preserve"> A Resilient and High Performing MoF will Help Realise a Long and Prosperous Future for Afghanistan and All Its People</w:t>
      </w:r>
    </w:p>
    <w:p w14:paraId="687AAB45" w14:textId="315D5602" w:rsidR="00BA35C1" w:rsidRPr="00BA35C1" w:rsidRDefault="00E9748A" w:rsidP="00595855">
      <w:pPr>
        <w:pStyle w:val="Numberedpara"/>
      </w:pPr>
      <w:r>
        <w:rPr>
          <w:b/>
        </w:rPr>
        <w:lastRenderedPageBreak/>
        <w:t xml:space="preserve"> </w:t>
      </w:r>
      <w:r w:rsidR="00595855" w:rsidRPr="00DE09EF">
        <w:rPr>
          <w:b/>
        </w:rPr>
        <w:t>By instituting team-based performance management, the Government is saying we value institutional culture</w:t>
      </w:r>
      <w:r w:rsidR="00595855" w:rsidRPr="00DE09EF">
        <w:t xml:space="preserve"> as the primary determinant of performance. Moreover, we believe that managing teams is more effective than managing </w:t>
      </w:r>
      <w:r w:rsidR="00595855">
        <w:t xml:space="preserve">reform </w:t>
      </w:r>
      <w:r w:rsidR="00595855" w:rsidRPr="00DE09EF">
        <w:t>theme</w:t>
      </w:r>
      <w:r w:rsidR="00595855">
        <w:t xml:space="preserve">s. Focussing on teams means </w:t>
      </w:r>
      <w:r w:rsidR="00595855" w:rsidRPr="00DE09EF">
        <w:t xml:space="preserve">direct lines of reporting and increased accountability for results. </w:t>
      </w:r>
      <w:r w:rsidR="00595855">
        <w:t>It also means important institutional enablers and support systems, like IT, internal ministry level budgeting and accounting do not slip through the cracks.</w:t>
      </w:r>
    </w:p>
    <w:p w14:paraId="24AD0625" w14:textId="0882099C" w:rsidR="001A6FD6" w:rsidRDefault="00E9748A" w:rsidP="00EC65C8">
      <w:pPr>
        <w:pStyle w:val="Numberedpara"/>
      </w:pPr>
      <w:r>
        <w:rPr>
          <w:b/>
        </w:rPr>
        <w:t xml:space="preserve"> </w:t>
      </w:r>
      <w:r w:rsidR="001A6FD6">
        <w:rPr>
          <w:b/>
        </w:rPr>
        <w:t xml:space="preserve">Improving performance </w:t>
      </w:r>
      <w:r w:rsidR="00552B34">
        <w:rPr>
          <w:b/>
        </w:rPr>
        <w:t>is a strategic goal,</w:t>
      </w:r>
      <w:r w:rsidR="001A6FD6">
        <w:rPr>
          <w:b/>
        </w:rPr>
        <w:t xml:space="preserve"> anchored in practical activities, outputs and outcomes </w:t>
      </w:r>
      <w:r w:rsidR="001A6FD6" w:rsidRPr="00DC64B5">
        <w:t>in the context of reforms to public financial management in Afghanistan.</w:t>
      </w:r>
      <w:r w:rsidR="00716DE0">
        <w:t xml:space="preserve"> K</w:t>
      </w:r>
      <w:r w:rsidR="001A6FD6" w:rsidRPr="00F3332E">
        <w:t xml:space="preserve">ey goals for performance management and </w:t>
      </w:r>
      <w:r w:rsidR="00804C5C">
        <w:t xml:space="preserve">for building </w:t>
      </w:r>
      <w:r w:rsidR="001A6FD6" w:rsidRPr="00F3332E">
        <w:t>system</w:t>
      </w:r>
      <w:r w:rsidR="00804C5C">
        <w:t xml:space="preserve">s </w:t>
      </w:r>
      <w:r w:rsidR="00716DE0">
        <w:t>under this plan are set out in</w:t>
      </w:r>
      <w:r w:rsidR="001A6FD6">
        <w:t xml:space="preserve"> </w:t>
      </w:r>
      <w:r w:rsidR="001A6FD6">
        <w:fldChar w:fldCharType="begin"/>
      </w:r>
      <w:r w:rsidR="001A6FD6">
        <w:instrText xml:space="preserve"> REF _Ref428539452 \w \h </w:instrText>
      </w:r>
      <w:r w:rsidR="001A6FD6">
        <w:fldChar w:fldCharType="separate"/>
      </w:r>
      <w:r w:rsidR="00004C5E">
        <w:t>Box 2</w:t>
      </w:r>
      <w:r w:rsidR="001A6FD6">
        <w:fldChar w:fldCharType="end"/>
      </w:r>
      <w:r w:rsidR="001A6FD6">
        <w:t xml:space="preserve"> below</w:t>
      </w:r>
      <w:r w:rsidR="001A6FD6" w:rsidRPr="00F3332E">
        <w:t xml:space="preserve">. These are common goals for any </w:t>
      </w:r>
      <w:r w:rsidR="001A6FD6">
        <w:t>fiscal performance improvement</w:t>
      </w:r>
      <w:r w:rsidR="001A6FD6" w:rsidRPr="00F3332E">
        <w:t xml:space="preserve"> plan and for an</w:t>
      </w:r>
      <w:r w:rsidR="00804C5C">
        <w:t>y capacity building plan for a Ministry of F</w:t>
      </w:r>
      <w:r w:rsidR="001A6FD6" w:rsidRPr="00F3332E">
        <w:t>inance</w:t>
      </w:r>
      <w:r w:rsidR="00804C5C">
        <w:t xml:space="preserve"> and form a foundation for the Government to build on</w:t>
      </w:r>
      <w:r w:rsidR="001A6FD6" w:rsidRPr="00F3332E">
        <w:t xml:space="preserve">. </w:t>
      </w:r>
    </w:p>
    <w:p w14:paraId="6026EA5C" w14:textId="77777777" w:rsidR="00BA35C1" w:rsidRDefault="00BA35C1" w:rsidP="00BA35C1">
      <w:pPr>
        <w:pStyle w:val="Numberedpara"/>
        <w:numPr>
          <w:ilvl w:val="0"/>
          <w:numId w:val="0"/>
        </w:numPr>
        <w:ind w:left="360"/>
      </w:pPr>
    </w:p>
    <w:p w14:paraId="1CD1845F" w14:textId="77777777" w:rsidR="001A6FD6" w:rsidRPr="00FE5C2E" w:rsidRDefault="001A6FD6" w:rsidP="00EC65C8">
      <w:pPr>
        <w:pStyle w:val="Boxheader"/>
      </w:pPr>
      <w:bookmarkStart w:id="10" w:name="_Ref428539452"/>
      <w:bookmarkStart w:id="11" w:name="_Toc430414694"/>
      <w:bookmarkStart w:id="12" w:name="_Toc457162665"/>
      <w:r w:rsidRPr="00FE5C2E">
        <w:t>The Seven Goals for Performance Management:</w:t>
      </w:r>
      <w:bookmarkEnd w:id="10"/>
      <w:bookmarkEnd w:id="11"/>
      <w:bookmarkEnd w:id="12"/>
    </w:p>
    <w:p w14:paraId="2CCFFC91" w14:textId="77777777" w:rsidR="001A6FD6" w:rsidRPr="006B1984" w:rsidRDefault="001A6FD6" w:rsidP="00EC65C8">
      <w:pPr>
        <w:pStyle w:val="BOXBODY"/>
      </w:pPr>
      <w:r w:rsidRPr="006B1984">
        <w:t>Deliver on the Three Core Budgetary Outcomes</w:t>
      </w:r>
    </w:p>
    <w:p w14:paraId="555B03A8" w14:textId="4EA829A5" w:rsidR="001A6FD6" w:rsidRPr="005D37C0" w:rsidRDefault="001A6FD6" w:rsidP="00EC65C8">
      <w:pPr>
        <w:pStyle w:val="BOXBODY"/>
        <w:rPr>
          <w:b w:val="0"/>
        </w:rPr>
      </w:pPr>
      <w:r w:rsidRPr="005D37C0">
        <w:rPr>
          <w:b w:val="0"/>
        </w:rPr>
        <w:t xml:space="preserve">1. </w:t>
      </w:r>
      <w:r w:rsidRPr="005D37C0">
        <w:t>Improve efficiency and effectiveness of public services</w:t>
      </w:r>
      <w:r w:rsidRPr="005D37C0">
        <w:rPr>
          <w:b w:val="0"/>
        </w:rPr>
        <w:t xml:space="preserve"> and service delivery (better education, improved health and greater confidence in government)</w:t>
      </w:r>
    </w:p>
    <w:p w14:paraId="1FA81A0D" w14:textId="77777777" w:rsidR="001A6FD6" w:rsidRPr="005D37C0" w:rsidRDefault="001A6FD6" w:rsidP="00EC65C8">
      <w:pPr>
        <w:pStyle w:val="BOXBODY"/>
        <w:rPr>
          <w:b w:val="0"/>
        </w:rPr>
      </w:pPr>
      <w:r w:rsidRPr="005D37C0">
        <w:rPr>
          <w:b w:val="0"/>
        </w:rPr>
        <w:t xml:space="preserve">2. </w:t>
      </w:r>
      <w:r w:rsidRPr="005D37C0">
        <w:t>Deliver sustainable public finances by being strategic</w:t>
      </w:r>
      <w:r w:rsidRPr="005D37C0">
        <w:rPr>
          <w:b w:val="0"/>
        </w:rPr>
        <w:t xml:space="preserve"> on how resources are allocated, distributed and spent (economic efficiency)</w:t>
      </w:r>
    </w:p>
    <w:p w14:paraId="0EFC2C48" w14:textId="77777777" w:rsidR="001A6FD6" w:rsidRPr="005D37C0" w:rsidRDefault="001A6FD6" w:rsidP="00EC65C8">
      <w:pPr>
        <w:pStyle w:val="BOXBODY"/>
        <w:rPr>
          <w:b w:val="0"/>
        </w:rPr>
      </w:pPr>
      <w:r w:rsidRPr="005D37C0">
        <w:rPr>
          <w:b w:val="0"/>
        </w:rPr>
        <w:t xml:space="preserve">3. </w:t>
      </w:r>
      <w:r w:rsidRPr="005D37C0">
        <w:t>Strengthen fiscal discipline</w:t>
      </w:r>
      <w:r w:rsidRPr="005D37C0">
        <w:rPr>
          <w:b w:val="0"/>
        </w:rPr>
        <w:t xml:space="preserve"> by doing what we say, hitting our targets, and running orderly processes</w:t>
      </w:r>
    </w:p>
    <w:p w14:paraId="7B3B8B89" w14:textId="77777777" w:rsidR="001A6FD6" w:rsidRPr="006B1984" w:rsidRDefault="001A6FD6" w:rsidP="00EC65C8">
      <w:pPr>
        <w:pStyle w:val="BOXBODY"/>
      </w:pPr>
      <w:r w:rsidRPr="006B1984">
        <w:t>Deliver on Four Complimentary High Priority Objectives</w:t>
      </w:r>
    </w:p>
    <w:p w14:paraId="36650E9E" w14:textId="77777777" w:rsidR="001A6FD6" w:rsidRPr="005D37C0" w:rsidRDefault="001A6FD6" w:rsidP="00EC65C8">
      <w:pPr>
        <w:pStyle w:val="BOXBODY"/>
        <w:rPr>
          <w:b w:val="0"/>
        </w:rPr>
      </w:pPr>
      <w:r w:rsidRPr="005D37C0">
        <w:rPr>
          <w:b w:val="0"/>
        </w:rPr>
        <w:t xml:space="preserve">4. </w:t>
      </w:r>
      <w:r w:rsidRPr="005D37C0">
        <w:t>Manage an improving, stable and secure economy</w:t>
      </w:r>
      <w:r w:rsidRPr="005D37C0">
        <w:rPr>
          <w:b w:val="0"/>
        </w:rPr>
        <w:t xml:space="preserve"> </w:t>
      </w:r>
      <w:r w:rsidRPr="005D37C0">
        <w:t>creating jobs</w:t>
      </w:r>
      <w:r w:rsidRPr="005D37C0">
        <w:rPr>
          <w:b w:val="0"/>
        </w:rPr>
        <w:t>, increasing opportunities for all, reducing uncertainty and creating conditions for stability</w:t>
      </w:r>
    </w:p>
    <w:p w14:paraId="5DEE8303" w14:textId="77777777" w:rsidR="001A6FD6" w:rsidRPr="005D37C0" w:rsidRDefault="001A6FD6" w:rsidP="00EC65C8">
      <w:pPr>
        <w:pStyle w:val="BOXBODY"/>
        <w:rPr>
          <w:b w:val="0"/>
        </w:rPr>
      </w:pPr>
      <w:r w:rsidRPr="005D37C0">
        <w:rPr>
          <w:b w:val="0"/>
        </w:rPr>
        <w:t xml:space="preserve">5. </w:t>
      </w:r>
      <w:r w:rsidRPr="005D37C0">
        <w:t>Be more accountable</w:t>
      </w:r>
      <w:r w:rsidRPr="005D37C0">
        <w:rPr>
          <w:b w:val="0"/>
        </w:rPr>
        <w:t xml:space="preserve"> to all stakeholders in the pursuit of good governance</w:t>
      </w:r>
    </w:p>
    <w:p w14:paraId="2224EC19" w14:textId="77777777" w:rsidR="001A6FD6" w:rsidRPr="005D37C0" w:rsidRDefault="001A6FD6" w:rsidP="00EC65C8">
      <w:pPr>
        <w:pStyle w:val="BOXBODY"/>
        <w:rPr>
          <w:b w:val="0"/>
        </w:rPr>
      </w:pPr>
      <w:r w:rsidRPr="005D37C0">
        <w:rPr>
          <w:b w:val="0"/>
        </w:rPr>
        <w:t xml:space="preserve">6. </w:t>
      </w:r>
      <w:r w:rsidRPr="005D37C0">
        <w:t>Be more transparent</w:t>
      </w:r>
      <w:r w:rsidRPr="005D37C0">
        <w:rPr>
          <w:b w:val="0"/>
        </w:rPr>
        <w:t xml:space="preserve"> – to different internal and external stakeholders ; </w:t>
      </w:r>
      <w:r w:rsidRPr="005D37C0">
        <w:rPr>
          <w:b w:val="0"/>
        </w:rPr>
        <w:br/>
        <w:t>on what the government is doing;  in a way that is relevant to stakeholders</w:t>
      </w:r>
    </w:p>
    <w:p w14:paraId="7D824508" w14:textId="641FE418" w:rsidR="001A6FD6" w:rsidRPr="005D37C0" w:rsidRDefault="001A6FD6" w:rsidP="00EC65C8">
      <w:pPr>
        <w:pStyle w:val="BOXBODY"/>
        <w:rPr>
          <w:b w:val="0"/>
        </w:rPr>
      </w:pPr>
      <w:r w:rsidRPr="005D37C0">
        <w:rPr>
          <w:b w:val="0"/>
        </w:rPr>
        <w:t xml:space="preserve">7. </w:t>
      </w:r>
      <w:r w:rsidRPr="005D37C0">
        <w:t>Deliver continuous improvement</w:t>
      </w:r>
      <w:r w:rsidRPr="005D37C0">
        <w:rPr>
          <w:b w:val="0"/>
        </w:rPr>
        <w:t xml:space="preserve"> through integrated systems of tri</w:t>
      </w:r>
      <w:r w:rsidR="00C85F5F" w:rsidRPr="005D37C0">
        <w:rPr>
          <w:b w:val="0"/>
        </w:rPr>
        <w:t>al and error based around the integrity of the budget cycle.</w:t>
      </w:r>
    </w:p>
    <w:p w14:paraId="2AD8FC49" w14:textId="77777777" w:rsidR="00804C5C" w:rsidRPr="003549FF" w:rsidRDefault="00804C5C" w:rsidP="00EC65C8">
      <w:pPr>
        <w:pStyle w:val="BOXBODY"/>
      </w:pPr>
    </w:p>
    <w:p w14:paraId="5755E8F3" w14:textId="36A493BD" w:rsidR="0092119A" w:rsidRDefault="00E9748A" w:rsidP="00EC65C8">
      <w:pPr>
        <w:pStyle w:val="Numberedpara"/>
      </w:pPr>
      <w:r>
        <w:rPr>
          <w:b/>
        </w:rPr>
        <w:t xml:space="preserve"> </w:t>
      </w:r>
      <w:r w:rsidR="00804C5C">
        <w:rPr>
          <w:b/>
        </w:rPr>
        <w:t>While it is a central part of the plan, t</w:t>
      </w:r>
      <w:r w:rsidR="00552B34">
        <w:rPr>
          <w:b/>
        </w:rPr>
        <w:t>eam-</w:t>
      </w:r>
      <w:r w:rsidR="001A6FD6" w:rsidRPr="00874CB7">
        <w:rPr>
          <w:b/>
        </w:rPr>
        <w:t>based performance management is not an end in and of itself.</w:t>
      </w:r>
      <w:r w:rsidR="001A6FD6" w:rsidRPr="00874CB7">
        <w:t xml:space="preserve"> It is part of a broad foundation theory for positive change</w:t>
      </w:r>
      <w:r w:rsidR="00552B34">
        <w:t>. The full theory is set out</w:t>
      </w:r>
      <w:r w:rsidR="00FD62E6">
        <w:t xml:space="preserve"> in </w:t>
      </w:r>
      <w:r w:rsidR="001D4911" w:rsidRPr="00804C5C">
        <w:t>the Government’s implementation strategy</w:t>
      </w:r>
      <w:r w:rsidR="00FD62E6" w:rsidRPr="00804C5C">
        <w:t xml:space="preserve"> paper</w:t>
      </w:r>
      <w:r w:rsidR="001D4911">
        <w:t xml:space="preserve"> cited in the introduction.</w:t>
      </w:r>
      <w:r w:rsidR="00804C5C">
        <w:rPr>
          <w:rStyle w:val="FootnoteReference"/>
        </w:rPr>
        <w:footnoteReference w:id="6"/>
      </w:r>
      <w:r w:rsidR="001D4911">
        <w:t xml:space="preserve">  </w:t>
      </w:r>
    </w:p>
    <w:p w14:paraId="099F4ED4" w14:textId="3703AFFD" w:rsidR="001A6FD6" w:rsidRPr="00874CB7" w:rsidRDefault="00BA35C1" w:rsidP="00EC65C8">
      <w:pPr>
        <w:pStyle w:val="Numberedpara"/>
      </w:pPr>
      <w:r>
        <w:t xml:space="preserve"> </w:t>
      </w:r>
      <w:r w:rsidR="001D4911">
        <w:t>I</w:t>
      </w:r>
      <w:r w:rsidR="001A6FD6" w:rsidRPr="00874CB7">
        <w:t xml:space="preserve">n summary the key components are: </w:t>
      </w:r>
    </w:p>
    <w:p w14:paraId="3F9FC580" w14:textId="708F5EAA" w:rsidR="001A6FD6" w:rsidRPr="00FE5C2E" w:rsidRDefault="001A6FD6" w:rsidP="006C1DFF">
      <w:pPr>
        <w:pStyle w:val="ListBullet"/>
        <w:rPr>
          <w:lang w:val="en-GB"/>
        </w:rPr>
      </w:pPr>
      <w:r w:rsidRPr="00A3226E">
        <w:rPr>
          <w:b/>
          <w:i/>
          <w:lang w:val="en-GB"/>
        </w:rPr>
        <w:t xml:space="preserve">Conform </w:t>
      </w:r>
      <w:r>
        <w:rPr>
          <w:b/>
          <w:i/>
          <w:lang w:val="en-GB"/>
        </w:rPr>
        <w:t xml:space="preserve">to </w:t>
      </w:r>
      <w:r w:rsidRPr="00A3226E">
        <w:rPr>
          <w:b/>
          <w:i/>
          <w:lang w:val="en-GB"/>
        </w:rPr>
        <w:t>aid effectiveness principles</w:t>
      </w:r>
      <w:r>
        <w:rPr>
          <w:b/>
          <w:i/>
          <w:lang w:val="en-GB"/>
        </w:rPr>
        <w:t xml:space="preserve"> for fragile states</w:t>
      </w:r>
      <w:r w:rsidRPr="00FE5C2E">
        <w:rPr>
          <w:lang w:val="en-GB"/>
        </w:rPr>
        <w:t xml:space="preserve"> </w:t>
      </w:r>
      <w:r>
        <w:rPr>
          <w:lang w:val="en-GB"/>
        </w:rPr>
        <w:t xml:space="preserve">including </w:t>
      </w:r>
      <w:r w:rsidRPr="00FE5C2E">
        <w:rPr>
          <w:lang w:val="en-GB"/>
        </w:rPr>
        <w:t xml:space="preserve">ownership, alignment, harmonisation, managing for results, mutual </w:t>
      </w:r>
      <w:r w:rsidRPr="00FE5C2E">
        <w:rPr>
          <w:lang w:val="en-GB"/>
        </w:rPr>
        <w:lastRenderedPageBreak/>
        <w:t xml:space="preserve">accountability and the </w:t>
      </w:r>
      <w:r w:rsidR="001D4911">
        <w:rPr>
          <w:lang w:val="en-GB"/>
        </w:rPr>
        <w:t>New Deal’s</w:t>
      </w:r>
      <w:r>
        <w:rPr>
          <w:lang w:val="en-GB"/>
        </w:rPr>
        <w:t xml:space="preserve"> TRUST and FOCUS priorities for working in </w:t>
      </w:r>
      <w:r w:rsidR="00804C5C">
        <w:rPr>
          <w:lang w:val="en-GB"/>
        </w:rPr>
        <w:t xml:space="preserve">conflict affected and </w:t>
      </w:r>
      <w:r>
        <w:rPr>
          <w:lang w:val="en-GB"/>
        </w:rPr>
        <w:t>fragile states</w:t>
      </w:r>
      <w:r w:rsidR="00716DE0">
        <w:rPr>
          <w:lang w:val="en-GB"/>
        </w:rPr>
        <w:t>:</w:t>
      </w:r>
      <w:r>
        <w:rPr>
          <w:rStyle w:val="FootnoteReference"/>
          <w:lang w:val="en-GB"/>
        </w:rPr>
        <w:footnoteReference w:id="7"/>
      </w:r>
      <w:r w:rsidRPr="00FE5C2E">
        <w:rPr>
          <w:lang w:val="en-GB"/>
        </w:rPr>
        <w:t xml:space="preserve"> </w:t>
      </w:r>
    </w:p>
    <w:p w14:paraId="6F6898F6" w14:textId="488274D2" w:rsidR="001A6FD6" w:rsidRPr="00FE5C2E" w:rsidRDefault="001A6FD6" w:rsidP="006C1DFF">
      <w:pPr>
        <w:pStyle w:val="ListBullet"/>
        <w:rPr>
          <w:lang w:val="en-GB"/>
        </w:rPr>
      </w:pPr>
      <w:r w:rsidRPr="00A3226E">
        <w:rPr>
          <w:b/>
          <w:i/>
          <w:lang w:val="en-GB"/>
        </w:rPr>
        <w:t>Follow the Basics First Approach</w:t>
      </w:r>
      <w:r w:rsidRPr="00FE5C2E">
        <w:rPr>
          <w:lang w:val="en-GB"/>
        </w:rPr>
        <w:t xml:space="preserve"> to help pr</w:t>
      </w:r>
      <w:r w:rsidR="001D4911">
        <w:rPr>
          <w:lang w:val="en-GB"/>
        </w:rPr>
        <w:t>ioritize and sequence</w:t>
      </w:r>
      <w:r w:rsidRPr="00FE5C2E">
        <w:rPr>
          <w:lang w:val="en-GB"/>
        </w:rPr>
        <w:t xml:space="preserve"> PFM reform activities over time; </w:t>
      </w:r>
    </w:p>
    <w:p w14:paraId="1AC110ED" w14:textId="25370DD3" w:rsidR="001A6FD6" w:rsidRPr="00FE5C2E" w:rsidRDefault="001A6FD6" w:rsidP="00333F8B">
      <w:pPr>
        <w:pStyle w:val="Numberedbullet"/>
      </w:pPr>
      <w:r w:rsidRPr="00804C5C">
        <w:rPr>
          <w:b/>
        </w:rPr>
        <w:t>Target the weakest link</w:t>
      </w:r>
      <w:r w:rsidR="001D4911" w:rsidRPr="00804C5C">
        <w:rPr>
          <w:b/>
        </w:rPr>
        <w:t>s in the</w:t>
      </w:r>
      <w:r w:rsidR="0031053A" w:rsidRPr="00804C5C">
        <w:rPr>
          <w:b/>
        </w:rPr>
        <w:t xml:space="preserve"> budget </w:t>
      </w:r>
      <w:r w:rsidRPr="00804C5C">
        <w:rPr>
          <w:b/>
        </w:rPr>
        <w:t xml:space="preserve">cycle </w:t>
      </w:r>
      <w:r w:rsidRPr="00FE5C2E">
        <w:t xml:space="preserve">to ensure the system is self-improving; </w:t>
      </w:r>
    </w:p>
    <w:p w14:paraId="7BB31BCD" w14:textId="77777777" w:rsidR="001A6FD6" w:rsidRPr="00FE5C2E" w:rsidRDefault="001A6FD6" w:rsidP="006C1DFF">
      <w:pPr>
        <w:pStyle w:val="ListBullet"/>
        <w:rPr>
          <w:lang w:val="en-GB"/>
        </w:rPr>
      </w:pPr>
      <w:r w:rsidRPr="00A3226E">
        <w:rPr>
          <w:b/>
          <w:i/>
          <w:lang w:val="en-GB"/>
        </w:rPr>
        <w:t xml:space="preserve">Utilise analytical techniques </w:t>
      </w:r>
      <w:r>
        <w:rPr>
          <w:b/>
          <w:i/>
          <w:lang w:val="en-GB"/>
        </w:rPr>
        <w:t xml:space="preserve">regularly </w:t>
      </w:r>
      <w:r w:rsidRPr="00A3226E">
        <w:rPr>
          <w:b/>
          <w:i/>
          <w:lang w:val="en-GB"/>
        </w:rPr>
        <w:t>to assess technical and political feasibility</w:t>
      </w:r>
      <w:r w:rsidRPr="00FE5C2E">
        <w:rPr>
          <w:lang w:val="en-GB"/>
        </w:rPr>
        <w:t xml:space="preserve"> of reform options; and </w:t>
      </w:r>
    </w:p>
    <w:p w14:paraId="2CAAD7D3" w14:textId="4503FD9E" w:rsidR="001A6FD6" w:rsidRPr="00DE09EF" w:rsidRDefault="001A6FD6" w:rsidP="006C1DFF">
      <w:pPr>
        <w:pStyle w:val="ListBullet"/>
      </w:pPr>
      <w:r w:rsidRPr="00A3226E">
        <w:rPr>
          <w:b/>
          <w:i/>
          <w:lang w:val="en-GB"/>
        </w:rPr>
        <w:t>Introduce a Team-based Performance Management culture</w:t>
      </w:r>
      <w:r w:rsidRPr="00FE5C2E">
        <w:rPr>
          <w:lang w:val="en-GB"/>
        </w:rPr>
        <w:t xml:space="preserve"> starting with integrating team-based performance management into reform </w:t>
      </w:r>
      <w:r w:rsidRPr="006C1DFF">
        <w:t>program</w:t>
      </w:r>
      <w:r w:rsidRPr="00FE5C2E">
        <w:rPr>
          <w:lang w:val="en-GB"/>
        </w:rPr>
        <w:t xml:space="preserve"> design and monitoring and evaluation systems.</w:t>
      </w:r>
      <w:r w:rsidR="00FD62E6" w:rsidRPr="00DE09EF">
        <w:t xml:space="preserve"> </w:t>
      </w:r>
    </w:p>
    <w:p w14:paraId="654833EE" w14:textId="3B2E07B8" w:rsidR="00DD785A" w:rsidRPr="00DE09EF" w:rsidRDefault="00BA35C1" w:rsidP="00EC65C8">
      <w:pPr>
        <w:pStyle w:val="Numberedpara"/>
      </w:pPr>
      <w:r>
        <w:rPr>
          <w:b/>
        </w:rPr>
        <w:t xml:space="preserve"> </w:t>
      </w:r>
      <w:r w:rsidR="00DD785A" w:rsidRPr="00DE09EF">
        <w:rPr>
          <w:b/>
        </w:rPr>
        <w:t>It is important to base performance management around rolling plan</w:t>
      </w:r>
      <w:r w:rsidR="001D4911">
        <w:rPr>
          <w:b/>
        </w:rPr>
        <w:t>s that reflect the challenges the Government</w:t>
      </w:r>
      <w:r w:rsidR="00DD785A" w:rsidRPr="00DE09EF">
        <w:rPr>
          <w:b/>
        </w:rPr>
        <w:t xml:space="preserve"> face</w:t>
      </w:r>
      <w:r w:rsidR="001D4911">
        <w:rPr>
          <w:b/>
        </w:rPr>
        <w:t>s</w:t>
      </w:r>
      <w:r w:rsidR="00DD785A" w:rsidRPr="00DE09EF">
        <w:rPr>
          <w:b/>
        </w:rPr>
        <w:t>.</w:t>
      </w:r>
      <w:r w:rsidR="00552B34">
        <w:t xml:space="preserve"> The </w:t>
      </w:r>
      <w:r w:rsidR="0028258C">
        <w:t>context of conflict means that r</w:t>
      </w:r>
      <w:r w:rsidR="00552B34">
        <w:t>eforms are</w:t>
      </w:r>
      <w:r w:rsidR="00DD785A" w:rsidRPr="00DE09EF">
        <w:t xml:space="preserve"> not simple and will take time. Results will be uneven. By establishing 5-year p</w:t>
      </w:r>
      <w:r w:rsidR="0028258C">
        <w:t>lans, we can ensure</w:t>
      </w:r>
      <w:r w:rsidR="00DD785A" w:rsidRPr="00DE09EF">
        <w:t xml:space="preserve"> high impact but achievable reforms</w:t>
      </w:r>
      <w:r w:rsidR="00256607">
        <w:t>,</w:t>
      </w:r>
      <w:r w:rsidR="00DD785A" w:rsidRPr="00DE09EF">
        <w:t xml:space="preserve"> and that we are </w:t>
      </w:r>
      <w:r w:rsidR="0028258C">
        <w:t xml:space="preserve">carefully </w:t>
      </w:r>
      <w:r w:rsidR="00DD785A" w:rsidRPr="00DE09EF">
        <w:t xml:space="preserve">tracking progress along the way. Every team will contribute to results, because we know that every team counts. We cannot break the cycle of dependency on external assistance if we do not fix </w:t>
      </w:r>
      <w:r w:rsidR="006900D0">
        <w:t>Human Resource (HR</w:t>
      </w:r>
      <w:r w:rsidR="00804C5C">
        <w:t>) systems</w:t>
      </w:r>
      <w:r w:rsidR="006900D0">
        <w:t>, Information Technology (</w:t>
      </w:r>
      <w:r w:rsidR="00DD785A" w:rsidRPr="00DE09EF">
        <w:t>IT</w:t>
      </w:r>
      <w:r w:rsidR="006900D0">
        <w:t>) infrastructure</w:t>
      </w:r>
      <w:r w:rsidR="00DD785A" w:rsidRPr="00DE09EF">
        <w:t xml:space="preserve"> and internal budget </w:t>
      </w:r>
      <w:r w:rsidR="006900D0">
        <w:t xml:space="preserve">and accounting </w:t>
      </w:r>
      <w:r w:rsidR="00DD785A" w:rsidRPr="00DE09EF">
        <w:t xml:space="preserve">processes in government agencies. </w:t>
      </w:r>
    </w:p>
    <w:p w14:paraId="7E8856A5" w14:textId="0EDC5339" w:rsidR="00E62493" w:rsidRPr="00E62493" w:rsidRDefault="00796EE3" w:rsidP="00F16BE9">
      <w:pPr>
        <w:pStyle w:val="Subtitle"/>
        <w:spacing w:before="240"/>
        <w:jc w:val="both"/>
        <w:rPr>
          <w:sz w:val="24"/>
          <w:szCs w:val="24"/>
          <w:lang w:val="en-GB"/>
        </w:rPr>
      </w:pPr>
      <w:r>
        <w:rPr>
          <w:sz w:val="24"/>
          <w:szCs w:val="24"/>
          <w:lang w:val="en-GB"/>
        </w:rPr>
        <w:t xml:space="preserve">Why a </w:t>
      </w:r>
      <w:r w:rsidR="00256607">
        <w:rPr>
          <w:sz w:val="24"/>
          <w:szCs w:val="24"/>
          <w:lang w:val="en-GB"/>
        </w:rPr>
        <w:t>5-Year</w:t>
      </w:r>
      <w:r>
        <w:rPr>
          <w:sz w:val="24"/>
          <w:szCs w:val="24"/>
          <w:lang w:val="en-GB"/>
        </w:rPr>
        <w:t xml:space="preserve"> Rolling Plan?</w:t>
      </w:r>
    </w:p>
    <w:p w14:paraId="3ACE3907" w14:textId="17BC7674" w:rsidR="00E62493" w:rsidRPr="00804C5C" w:rsidRDefault="00BA35C1" w:rsidP="00804C5C">
      <w:pPr>
        <w:pStyle w:val="Numberedpara"/>
      </w:pPr>
      <w:r>
        <w:rPr>
          <w:b/>
        </w:rPr>
        <w:t xml:space="preserve"> </w:t>
      </w:r>
      <w:r w:rsidR="00E62493">
        <w:rPr>
          <w:b/>
        </w:rPr>
        <w:t xml:space="preserve">A “rolling plan” is </w:t>
      </w:r>
      <w:r w:rsidR="00E62493" w:rsidRPr="006053D8">
        <w:rPr>
          <w:b/>
        </w:rPr>
        <w:t>a</w:t>
      </w:r>
      <w:r w:rsidR="00E62493">
        <w:rPr>
          <w:b/>
        </w:rPr>
        <w:t xml:space="preserve"> finance term for</w:t>
      </w:r>
      <w:r w:rsidR="00E62493" w:rsidRPr="006053D8">
        <w:rPr>
          <w:b/>
        </w:rPr>
        <w:t xml:space="preserve"> </w:t>
      </w:r>
      <w:r w:rsidR="00E62493">
        <w:rPr>
          <w:b/>
        </w:rPr>
        <w:t>“</w:t>
      </w:r>
      <w:r w:rsidR="00E62493" w:rsidRPr="006053D8">
        <w:rPr>
          <w:b/>
        </w:rPr>
        <w:t xml:space="preserve">plan which is designed to continue over a period of time and is subject to regular </w:t>
      </w:r>
      <w:r w:rsidR="00E62493" w:rsidRPr="006053D8">
        <w:t>review and updating”</w:t>
      </w:r>
      <w:r w:rsidR="00E62493" w:rsidRPr="006053D8">
        <w:rPr>
          <w:rStyle w:val="FootnoteReference"/>
          <w:lang w:val="en-US"/>
        </w:rPr>
        <w:footnoteReference w:id="8"/>
      </w:r>
      <w:r w:rsidR="00E62493" w:rsidRPr="006053D8">
        <w:t xml:space="preserve">. </w:t>
      </w:r>
      <w:r w:rsidR="00804C5C" w:rsidRPr="00804C5C">
        <w:t>The underlying</w:t>
      </w:r>
      <w:r w:rsidR="00E62493" w:rsidRPr="00804C5C">
        <w:t xml:space="preserve"> logic</w:t>
      </w:r>
      <w:r w:rsidR="00E62493" w:rsidRPr="006053D8">
        <w:t xml:space="preserve"> for 5 Year Rolling Plans </w:t>
      </w:r>
      <w:r w:rsidR="00E62493">
        <w:t xml:space="preserve">within the context of fiscal performance improvement is threefold: </w:t>
      </w:r>
    </w:p>
    <w:p w14:paraId="146EA101" w14:textId="0DFFDA19" w:rsidR="00E62493" w:rsidRDefault="00E62493" w:rsidP="00E62493">
      <w:pPr>
        <w:pStyle w:val="ListBullet"/>
      </w:pPr>
      <w:r w:rsidRPr="006053D8">
        <w:rPr>
          <w:b/>
          <w:i/>
        </w:rPr>
        <w:t>Improving fiscal performance takes time</w:t>
      </w:r>
      <w:r>
        <w:t xml:space="preserve"> –</w:t>
      </w:r>
      <w:r w:rsidR="0028258C">
        <w:t xml:space="preserve"> reform activities are</w:t>
      </w:r>
      <w:r>
        <w:t xml:space="preserve"> prioritized</w:t>
      </w:r>
      <w:r w:rsidR="0028258C">
        <w:t xml:space="preserve"> and sequenced and plans show how we tackle activities </w:t>
      </w:r>
      <w:r>
        <w:t xml:space="preserve">over a number of years. </w:t>
      </w:r>
      <w:r w:rsidR="0028258C">
        <w:t>5 Years</w:t>
      </w:r>
      <w:r w:rsidR="00796EE3">
        <w:t xml:space="preserve"> is the period that covers most grant agreements and is the standard planning time horizon used in budget systems with a fully functioning system of rolling forward estimates. </w:t>
      </w:r>
    </w:p>
    <w:p w14:paraId="73236692" w14:textId="4218B83E" w:rsidR="00E62493" w:rsidRDefault="00E62493" w:rsidP="00796EE3">
      <w:pPr>
        <w:pStyle w:val="ListBullet"/>
      </w:pPr>
      <w:r w:rsidRPr="004E46A9">
        <w:rPr>
          <w:b/>
          <w:i/>
        </w:rPr>
        <w:t>Progress against plans is not uniform</w:t>
      </w:r>
      <w:r>
        <w:t xml:space="preserve"> – </w:t>
      </w:r>
      <w:r w:rsidR="0028258C">
        <w:t xml:space="preserve">completion of </w:t>
      </w:r>
      <w:r>
        <w:t xml:space="preserve">some planned activities </w:t>
      </w:r>
      <w:r w:rsidR="0028258C">
        <w:t>is quick</w:t>
      </w:r>
      <w:r>
        <w:t xml:space="preserve"> and to a</w:t>
      </w:r>
      <w:r w:rsidR="0028258C">
        <w:t xml:space="preserve"> good standard, while others</w:t>
      </w:r>
      <w:r>
        <w:t xml:space="preserve"> take longer than expecte</w:t>
      </w:r>
      <w:r w:rsidR="0028258C">
        <w:t>d to complete and/or achieve a</w:t>
      </w:r>
      <w:r>
        <w:t xml:space="preserve"> sufficient level of quality. Some reform activities are contingent on </w:t>
      </w:r>
      <w:r w:rsidR="0028258C">
        <w:t>the completion of other activities</w:t>
      </w:r>
      <w:r>
        <w:t xml:space="preserve"> first. Consequently, there needs to be a routine system to adjust the plan based on progress. </w:t>
      </w:r>
    </w:p>
    <w:p w14:paraId="3022EC9F" w14:textId="35C024C2" w:rsidR="00E62493" w:rsidRPr="006053D8" w:rsidRDefault="00E62493" w:rsidP="00796EE3">
      <w:pPr>
        <w:pStyle w:val="ListBullet"/>
      </w:pPr>
      <w:r w:rsidRPr="00216923">
        <w:rPr>
          <w:b/>
          <w:i/>
        </w:rPr>
        <w:t xml:space="preserve">The budget cycle is </w:t>
      </w:r>
      <w:r>
        <w:rPr>
          <w:b/>
          <w:i/>
        </w:rPr>
        <w:t>(or should be) a</w:t>
      </w:r>
      <w:r w:rsidRPr="00216923">
        <w:rPr>
          <w:b/>
          <w:i/>
        </w:rPr>
        <w:t xml:space="preserve"> continuous improvement cycle</w:t>
      </w:r>
      <w:r>
        <w:rPr>
          <w:b/>
        </w:rPr>
        <w:t xml:space="preserve"> </w:t>
      </w:r>
      <w:r w:rsidRPr="004E46A9">
        <w:t>for the public sector</w:t>
      </w:r>
      <w:r>
        <w:t xml:space="preserve"> - hence p</w:t>
      </w:r>
      <w:r w:rsidRPr="004E46A9">
        <w:t xml:space="preserve">erformance </w:t>
      </w:r>
      <w:r>
        <w:t>frameworks need</w:t>
      </w:r>
      <w:r w:rsidRPr="004E46A9">
        <w:t xml:space="preserve"> to </w:t>
      </w:r>
      <w:r>
        <w:t>be set</w:t>
      </w:r>
      <w:r w:rsidRPr="004E46A9">
        <w:t xml:space="preserve"> within the co</w:t>
      </w:r>
      <w:r>
        <w:t>ntext of the budget process / cycle. This means that: i) at the start of the fiscal year implementi</w:t>
      </w:r>
      <w:r w:rsidR="007B73F4">
        <w:t>ng agencies are</w:t>
      </w:r>
      <w:r>
        <w:t xml:space="preserve"> clear about what is expected of them (i.e. the reform activities in the plan that can be funded</w:t>
      </w:r>
      <w:r w:rsidR="007B73F4">
        <w:t>)</w:t>
      </w:r>
      <w:r>
        <w:t xml:space="preserve">; and ii) near the end of the fiscal year, performance is reviewed so that changes can be made to financial and non-financial plans as necessary. </w:t>
      </w:r>
    </w:p>
    <w:p w14:paraId="1DFD108C" w14:textId="1B3B6892" w:rsidR="00DD785A" w:rsidRDefault="00DD785A" w:rsidP="00F16BE9">
      <w:pPr>
        <w:pStyle w:val="Subtitle"/>
        <w:spacing w:before="240"/>
        <w:jc w:val="both"/>
        <w:rPr>
          <w:sz w:val="24"/>
          <w:szCs w:val="24"/>
          <w:lang w:val="en-GB"/>
        </w:rPr>
      </w:pPr>
      <w:r w:rsidRPr="00874CB7">
        <w:rPr>
          <w:sz w:val="24"/>
          <w:szCs w:val="24"/>
          <w:lang w:val="en-GB"/>
        </w:rPr>
        <w:lastRenderedPageBreak/>
        <w:t xml:space="preserve">How </w:t>
      </w:r>
      <w:r w:rsidR="006900D0">
        <w:rPr>
          <w:sz w:val="24"/>
          <w:szCs w:val="24"/>
          <w:lang w:val="en-GB"/>
        </w:rPr>
        <w:t>does</w:t>
      </w:r>
      <w:r w:rsidRPr="00874CB7">
        <w:rPr>
          <w:sz w:val="24"/>
          <w:szCs w:val="24"/>
          <w:lang w:val="en-GB"/>
        </w:rPr>
        <w:t xml:space="preserve"> it work?</w:t>
      </w:r>
    </w:p>
    <w:p w14:paraId="51276E92" w14:textId="6A913DC4" w:rsidR="005B719A" w:rsidRPr="005B719A" w:rsidRDefault="005B719A" w:rsidP="005B719A">
      <w:pPr>
        <w:pStyle w:val="FigureHeader"/>
        <w:rPr>
          <w:lang w:val="en-GB"/>
        </w:rPr>
      </w:pPr>
      <w:bookmarkStart w:id="13" w:name="_Toc457162649"/>
      <w:r>
        <w:rPr>
          <w:lang w:val="en-GB"/>
        </w:rPr>
        <w:t>The Continuous Performance Improvement Cycle</w:t>
      </w:r>
      <w:bookmarkEnd w:id="13"/>
    </w:p>
    <w:p w14:paraId="0996D12D" w14:textId="005795DA" w:rsidR="005B719A" w:rsidRDefault="005B719A" w:rsidP="005B719A">
      <w:pPr>
        <w:rPr>
          <w:lang w:val="en-GB"/>
        </w:rPr>
      </w:pPr>
      <w:r w:rsidRPr="005B719A">
        <w:rPr>
          <w:noProof/>
        </w:rPr>
        <w:drawing>
          <wp:inline distT="0" distB="0" distL="0" distR="0" wp14:anchorId="67A09698" wp14:editId="18EB29A6">
            <wp:extent cx="5732145" cy="353599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3535992"/>
                    </a:xfrm>
                    <a:prstGeom prst="rect">
                      <a:avLst/>
                    </a:prstGeom>
                    <a:noFill/>
                    <a:ln>
                      <a:noFill/>
                    </a:ln>
                  </pic:spPr>
                </pic:pic>
              </a:graphicData>
            </a:graphic>
          </wp:inline>
        </w:drawing>
      </w:r>
    </w:p>
    <w:p w14:paraId="605EFF96" w14:textId="03028806" w:rsidR="005B719A" w:rsidRDefault="005B719A" w:rsidP="003136A5">
      <w:pPr>
        <w:rPr>
          <w:lang w:val="en-GB"/>
        </w:rPr>
      </w:pPr>
    </w:p>
    <w:p w14:paraId="322BFA93" w14:textId="7DB33E03" w:rsidR="0019462B" w:rsidRPr="0019462B" w:rsidRDefault="0019462B" w:rsidP="0019462B">
      <w:pPr>
        <w:pStyle w:val="Subtitle"/>
        <w:spacing w:before="240"/>
        <w:jc w:val="both"/>
        <w:rPr>
          <w:i/>
          <w:color w:val="FA9A97" w:themeColor="accent1" w:themeTint="99"/>
          <w:sz w:val="24"/>
          <w:szCs w:val="24"/>
          <w:lang w:val="en-GB"/>
        </w:rPr>
      </w:pPr>
      <w:r w:rsidRPr="0019462B">
        <w:rPr>
          <w:i/>
          <w:color w:val="FA9A97" w:themeColor="accent1" w:themeTint="99"/>
          <w:sz w:val="24"/>
          <w:szCs w:val="24"/>
          <w:lang w:val="en-GB"/>
        </w:rPr>
        <w:t>Performance grading</w:t>
      </w:r>
    </w:p>
    <w:p w14:paraId="10709D0F" w14:textId="25ADD938" w:rsidR="00DD785A" w:rsidRPr="00DE09EF" w:rsidRDefault="00BA35C1" w:rsidP="00EC65C8">
      <w:pPr>
        <w:pStyle w:val="Numberedpara"/>
      </w:pPr>
      <w:r>
        <w:rPr>
          <w:b/>
        </w:rPr>
        <w:t xml:space="preserve"> </w:t>
      </w:r>
      <w:r w:rsidR="00DD785A" w:rsidRPr="00DE09EF">
        <w:rPr>
          <w:b/>
        </w:rPr>
        <w:t>The implementation of the 5-year rolling Fiscal Performance Improvement Plan is a tool to achieve reforms</w:t>
      </w:r>
      <w:r w:rsidR="00DD785A" w:rsidRPr="00DE09EF">
        <w:t xml:space="preserve">. The Government established a small Performance Management Team (PMT) within the </w:t>
      </w:r>
      <w:r w:rsidR="006900D0">
        <w:t>Macro-</w:t>
      </w:r>
      <w:r w:rsidR="00DD785A" w:rsidRPr="00DE09EF">
        <w:t xml:space="preserve">Fiscal </w:t>
      </w:r>
      <w:r w:rsidR="003C21A5">
        <w:t>Performance Department</w:t>
      </w:r>
      <w:r w:rsidR="007B73F4">
        <w:t xml:space="preserve"> (MFPD)</w:t>
      </w:r>
      <w:r w:rsidR="00DD785A" w:rsidRPr="00DE09EF">
        <w:t xml:space="preserve"> at the Ministry of Finance to facilitate the process. The PMT</w:t>
      </w:r>
      <w:r w:rsidR="006900D0">
        <w:t xml:space="preserve"> is</w:t>
      </w:r>
      <w:r w:rsidR="00DD785A" w:rsidRPr="00DE09EF">
        <w:t xml:space="preserve"> under the direct supervision of the Minister for Finance and </w:t>
      </w:r>
      <w:r w:rsidR="006900D0">
        <w:t>is responsible for</w:t>
      </w:r>
      <w:r w:rsidR="00DD785A" w:rsidRPr="00DE09EF">
        <w:t>:</w:t>
      </w:r>
    </w:p>
    <w:p w14:paraId="4B4605E4" w14:textId="584AF2A0" w:rsidR="00DD785A" w:rsidRPr="00DE09EF" w:rsidRDefault="006900D0" w:rsidP="00DD785A">
      <w:pPr>
        <w:pStyle w:val="ListBullet"/>
        <w:rPr>
          <w:lang w:val="en-GB"/>
        </w:rPr>
      </w:pPr>
      <w:r>
        <w:rPr>
          <w:b/>
          <w:i/>
          <w:lang w:val="en-GB"/>
        </w:rPr>
        <w:t>Facilitating</w:t>
      </w:r>
      <w:r w:rsidR="00DD785A" w:rsidRPr="00DE09EF">
        <w:rPr>
          <w:b/>
          <w:i/>
          <w:lang w:val="en-GB"/>
        </w:rPr>
        <w:t xml:space="preserve"> intensive team-based discussions</w:t>
      </w:r>
      <w:r w:rsidR="00DD785A" w:rsidRPr="00DE09EF">
        <w:rPr>
          <w:lang w:val="en-GB"/>
        </w:rPr>
        <w:t xml:space="preserve"> </w:t>
      </w:r>
      <w:r>
        <w:rPr>
          <w:lang w:val="en-GB"/>
        </w:rPr>
        <w:t>that</w:t>
      </w:r>
      <w:r w:rsidR="00DD785A" w:rsidRPr="00DE09EF">
        <w:rPr>
          <w:lang w:val="en-GB"/>
        </w:rPr>
        <w:t xml:space="preserve"> turn</w:t>
      </w:r>
      <w:r>
        <w:rPr>
          <w:lang w:val="en-GB"/>
        </w:rPr>
        <w:t>ed</w:t>
      </w:r>
      <w:r w:rsidR="00DD785A" w:rsidRPr="00DE09EF">
        <w:rPr>
          <w:lang w:val="en-GB"/>
        </w:rPr>
        <w:t xml:space="preserve"> the PFMR-II strategy into a 5-year rolling plan based around a range of key performance indicators.</w:t>
      </w:r>
    </w:p>
    <w:p w14:paraId="585CD391" w14:textId="5B45DC03" w:rsidR="00DD785A" w:rsidRPr="00DE09EF" w:rsidRDefault="00DD785A" w:rsidP="00DD785A">
      <w:pPr>
        <w:pStyle w:val="ListBullet"/>
        <w:rPr>
          <w:lang w:val="en-GB"/>
        </w:rPr>
      </w:pPr>
      <w:r w:rsidRPr="00DE09EF">
        <w:rPr>
          <w:b/>
          <w:i/>
          <w:lang w:val="en-GB"/>
        </w:rPr>
        <w:t>Design</w:t>
      </w:r>
      <w:r w:rsidR="006900D0">
        <w:rPr>
          <w:b/>
          <w:i/>
          <w:lang w:val="en-GB"/>
        </w:rPr>
        <w:t>ing</w:t>
      </w:r>
      <w:r w:rsidRPr="00DE09EF">
        <w:rPr>
          <w:b/>
          <w:i/>
          <w:lang w:val="en-GB"/>
        </w:rPr>
        <w:t xml:space="preserve"> and maintain</w:t>
      </w:r>
      <w:r w:rsidR="006900D0">
        <w:rPr>
          <w:b/>
          <w:i/>
          <w:lang w:val="en-GB"/>
        </w:rPr>
        <w:t>ing</w:t>
      </w:r>
      <w:r w:rsidRPr="00DE09EF">
        <w:rPr>
          <w:b/>
          <w:i/>
          <w:lang w:val="en-GB"/>
        </w:rPr>
        <w:t xml:space="preserve"> a system for monitoring progress and rating performance</w:t>
      </w:r>
      <w:r w:rsidR="0028258C">
        <w:rPr>
          <w:lang w:val="en-GB"/>
        </w:rPr>
        <w:t>. The design of the</w:t>
      </w:r>
      <w:r w:rsidR="006900D0">
        <w:rPr>
          <w:lang w:val="en-GB"/>
        </w:rPr>
        <w:t xml:space="preserve"> system is</w:t>
      </w:r>
      <w:r w:rsidRPr="00DE09EF">
        <w:rPr>
          <w:lang w:val="en-GB"/>
        </w:rPr>
        <w:t xml:space="preserve"> </w:t>
      </w:r>
      <w:r w:rsidR="0028258C">
        <w:rPr>
          <w:lang w:val="en-GB"/>
        </w:rPr>
        <w:t>for monitoring team performance</w:t>
      </w:r>
      <w:r w:rsidR="006900D0">
        <w:rPr>
          <w:lang w:val="en-GB"/>
        </w:rPr>
        <w:t xml:space="preserve">, </w:t>
      </w:r>
      <w:r w:rsidR="0028258C">
        <w:rPr>
          <w:lang w:val="en-GB"/>
        </w:rPr>
        <w:t xml:space="preserve">and </w:t>
      </w:r>
      <w:r w:rsidR="00C8650A">
        <w:rPr>
          <w:lang w:val="en-GB"/>
        </w:rPr>
        <w:t>training</w:t>
      </w:r>
      <w:r w:rsidRPr="00DE09EF">
        <w:rPr>
          <w:lang w:val="en-GB"/>
        </w:rPr>
        <w:t xml:space="preserve"> </w:t>
      </w:r>
      <w:r w:rsidR="00C8650A">
        <w:rPr>
          <w:lang w:val="en-GB"/>
        </w:rPr>
        <w:t xml:space="preserve">to all staff </w:t>
      </w:r>
      <w:r w:rsidRPr="00DE09EF">
        <w:rPr>
          <w:lang w:val="en-GB"/>
        </w:rPr>
        <w:t>i</w:t>
      </w:r>
      <w:r w:rsidR="00C8650A">
        <w:rPr>
          <w:lang w:val="en-GB"/>
        </w:rPr>
        <w:t>n how their performance is</w:t>
      </w:r>
      <w:r w:rsidRPr="00DE09EF">
        <w:rPr>
          <w:lang w:val="en-GB"/>
        </w:rPr>
        <w:t xml:space="preserve"> measured.</w:t>
      </w:r>
    </w:p>
    <w:p w14:paraId="7C2D5669" w14:textId="28CE3996" w:rsidR="00DD785A" w:rsidRPr="00DE09EF" w:rsidRDefault="006900D0" w:rsidP="00DD785A">
      <w:pPr>
        <w:pStyle w:val="ListBullet"/>
        <w:rPr>
          <w:lang w:val="en-GB"/>
        </w:rPr>
      </w:pPr>
      <w:r>
        <w:rPr>
          <w:b/>
          <w:i/>
          <w:lang w:val="en-GB"/>
        </w:rPr>
        <w:t>Facilitating</w:t>
      </w:r>
      <w:r w:rsidR="00DD785A" w:rsidRPr="00DE09EF">
        <w:rPr>
          <w:b/>
          <w:i/>
          <w:lang w:val="en-GB"/>
        </w:rPr>
        <w:t xml:space="preserve"> semi-annual team based performance discussions and annual performance reporting</w:t>
      </w:r>
      <w:r w:rsidR="00DD785A" w:rsidRPr="00DE09EF">
        <w:rPr>
          <w:lang w:val="en-GB"/>
        </w:rPr>
        <w:t xml:space="preserve"> to the Minister and Deputy Ministers on progress with implementation of the PFM Roadmap. Teams self-assess </w:t>
      </w:r>
      <w:r w:rsidR="00E24F6F">
        <w:rPr>
          <w:lang w:val="en-GB"/>
        </w:rPr>
        <w:t xml:space="preserve">their own </w:t>
      </w:r>
      <w:r w:rsidR="00DD785A" w:rsidRPr="00DE09EF">
        <w:rPr>
          <w:lang w:val="en-GB"/>
        </w:rPr>
        <w:t>performance and the PMT will moderate and ensure independent validation of scores and facilitate discussio</w:t>
      </w:r>
      <w:r w:rsidR="00DD785A">
        <w:rPr>
          <w:lang w:val="en-GB"/>
        </w:rPr>
        <w:t>ns based on evidence</w:t>
      </w:r>
      <w:r w:rsidR="00DD785A" w:rsidRPr="00DE09EF">
        <w:rPr>
          <w:lang w:val="en-GB"/>
        </w:rPr>
        <w:t>.</w:t>
      </w:r>
    </w:p>
    <w:p w14:paraId="65B522E9" w14:textId="20CC6654" w:rsidR="0092119A" w:rsidRDefault="00BA35C1" w:rsidP="00BA35C1">
      <w:pPr>
        <w:pStyle w:val="Numberedpara"/>
      </w:pPr>
      <w:r>
        <w:rPr>
          <w:b/>
        </w:rPr>
        <w:t xml:space="preserve"> </w:t>
      </w:r>
      <w:r w:rsidR="00DD785A" w:rsidRPr="00DE09EF">
        <w:rPr>
          <w:b/>
        </w:rPr>
        <w:t>The performance scoring approach</w:t>
      </w:r>
      <w:r w:rsidR="00DD785A" w:rsidRPr="00DE09EF">
        <w:t xml:space="preserve"> adopted i</w:t>
      </w:r>
      <w:r w:rsidR="007B73F4">
        <w:t>s one that scores each activity</w:t>
      </w:r>
      <w:r w:rsidR="00F976CB">
        <w:t xml:space="preserve">. </w:t>
      </w:r>
      <w:r w:rsidR="00A478CD">
        <w:t xml:space="preserve">Grading </w:t>
      </w:r>
      <w:r w:rsidR="007B73F4">
        <w:t>uses</w:t>
      </w:r>
      <w:r w:rsidR="00F976CB">
        <w:t xml:space="preserve"> a</w:t>
      </w:r>
      <w:r w:rsidR="007B73F4">
        <w:t xml:space="preserve"> standard alpha</w:t>
      </w:r>
      <w:r w:rsidR="00A478CD">
        <w:t>numeric</w:t>
      </w:r>
      <w:r w:rsidR="00F976CB">
        <w:t xml:space="preserve"> system</w:t>
      </w:r>
      <w:r w:rsidR="00A478CD">
        <w:t xml:space="preserve"> from D</w:t>
      </w:r>
      <w:r w:rsidR="00F976CB">
        <w:t>– meaning worst performance</w:t>
      </w:r>
      <w:r w:rsidR="00A478CD">
        <w:t xml:space="preserve"> to A+</w:t>
      </w:r>
      <w:r w:rsidR="00F976CB">
        <w:t xml:space="preserve"> meaning best performance</w:t>
      </w:r>
      <w:r w:rsidR="0019462B">
        <w:t xml:space="preserve">. </w:t>
      </w:r>
    </w:p>
    <w:p w14:paraId="322649F3" w14:textId="77777777" w:rsidR="00E67775" w:rsidRDefault="00E67775" w:rsidP="00E67775">
      <w:pPr>
        <w:pStyle w:val="Numberedpara"/>
        <w:numPr>
          <w:ilvl w:val="0"/>
          <w:numId w:val="0"/>
        </w:numPr>
        <w:ind w:left="360"/>
      </w:pPr>
    </w:p>
    <w:p w14:paraId="7258FA32" w14:textId="1181DFAC" w:rsidR="00DD785A" w:rsidRPr="00DE09EF" w:rsidRDefault="00BA35C1" w:rsidP="00EC65C8">
      <w:pPr>
        <w:pStyle w:val="Numberedpara"/>
      </w:pPr>
      <w:r>
        <w:t xml:space="preserve"> </w:t>
      </w:r>
      <w:r w:rsidR="00F976CB" w:rsidRPr="00FE0489">
        <w:t>Grades are</w:t>
      </w:r>
      <w:r w:rsidR="00A478CD" w:rsidRPr="00FE0489">
        <w:t xml:space="preserve"> applied </w:t>
      </w:r>
      <w:r w:rsidR="00DD785A" w:rsidRPr="00FE0489">
        <w:t xml:space="preserve">against three </w:t>
      </w:r>
      <w:r w:rsidR="00F976CB" w:rsidRPr="00FE0489">
        <w:t xml:space="preserve">core performance </w:t>
      </w:r>
      <w:r w:rsidR="00DD785A" w:rsidRPr="00FE0489">
        <w:t>dimensions</w:t>
      </w:r>
      <w:r w:rsidR="00DD785A" w:rsidRPr="00DE09EF">
        <w:t xml:space="preserve">: </w:t>
      </w:r>
    </w:p>
    <w:p w14:paraId="5A833A56" w14:textId="77777777" w:rsidR="00DD785A" w:rsidRPr="00DE09EF" w:rsidRDefault="00DD785A" w:rsidP="00DD785A">
      <w:pPr>
        <w:pStyle w:val="ListBullet"/>
        <w:rPr>
          <w:lang w:val="en-GB"/>
        </w:rPr>
      </w:pPr>
      <w:r w:rsidRPr="00DE09EF">
        <w:rPr>
          <w:b/>
          <w:i/>
          <w:lang w:val="en-GB"/>
        </w:rPr>
        <w:t>timeliness</w:t>
      </w:r>
      <w:r w:rsidRPr="00DE09EF">
        <w:rPr>
          <w:lang w:val="en-GB"/>
        </w:rPr>
        <w:t xml:space="preserve"> – was the activity done on time or was it late; </w:t>
      </w:r>
    </w:p>
    <w:p w14:paraId="7761DDEA" w14:textId="77777777" w:rsidR="00DD785A" w:rsidRPr="00DE09EF" w:rsidRDefault="00DD785A" w:rsidP="00DD785A">
      <w:pPr>
        <w:pStyle w:val="ListBullet"/>
        <w:rPr>
          <w:lang w:val="en-GB"/>
        </w:rPr>
      </w:pPr>
      <w:r w:rsidRPr="00DE09EF">
        <w:rPr>
          <w:b/>
          <w:i/>
          <w:lang w:val="en-GB"/>
        </w:rPr>
        <w:t>quality</w:t>
      </w:r>
      <w:r w:rsidRPr="00DE09EF">
        <w:rPr>
          <w:lang w:val="en-GB"/>
        </w:rPr>
        <w:t xml:space="preserve"> – was the activity done to a high or low quality; and </w:t>
      </w:r>
    </w:p>
    <w:p w14:paraId="5B98EC40" w14:textId="3CD5709B" w:rsidR="00BA35C1" w:rsidRPr="007B73F4" w:rsidRDefault="00DD785A" w:rsidP="007B73F4">
      <w:pPr>
        <w:pStyle w:val="ListBullet"/>
        <w:rPr>
          <w:lang w:val="en-GB"/>
        </w:rPr>
      </w:pPr>
      <w:r w:rsidRPr="00DE09EF">
        <w:rPr>
          <w:b/>
          <w:i/>
          <w:lang w:val="en-GB"/>
        </w:rPr>
        <w:t>effectiveness</w:t>
      </w:r>
      <w:r>
        <w:rPr>
          <w:lang w:val="en-GB"/>
        </w:rPr>
        <w:t xml:space="preserve"> – how effectively did</w:t>
      </w:r>
      <w:r w:rsidRPr="00DE09EF">
        <w:rPr>
          <w:lang w:val="en-GB"/>
        </w:rPr>
        <w:t xml:space="preserve"> team</w:t>
      </w:r>
      <w:r>
        <w:rPr>
          <w:lang w:val="en-GB"/>
        </w:rPr>
        <w:t>s deal with problems</w:t>
      </w:r>
      <w:r w:rsidRPr="00DE09EF">
        <w:rPr>
          <w:lang w:val="en-GB"/>
        </w:rPr>
        <w:t xml:space="preserve">? </w:t>
      </w:r>
    </w:p>
    <w:p w14:paraId="360D13DF" w14:textId="3140C13C" w:rsidR="0019462B" w:rsidRPr="0019462B" w:rsidRDefault="0019462B" w:rsidP="0019462B">
      <w:pPr>
        <w:pStyle w:val="Subtitle"/>
        <w:spacing w:before="240"/>
        <w:jc w:val="both"/>
        <w:rPr>
          <w:i/>
          <w:color w:val="FA9A97" w:themeColor="accent1" w:themeTint="99"/>
          <w:sz w:val="24"/>
          <w:szCs w:val="24"/>
          <w:lang w:val="en-GB"/>
        </w:rPr>
      </w:pPr>
      <w:r>
        <w:rPr>
          <w:i/>
          <w:color w:val="FA9A97" w:themeColor="accent1" w:themeTint="99"/>
          <w:sz w:val="24"/>
          <w:szCs w:val="24"/>
          <w:lang w:val="en-GB"/>
        </w:rPr>
        <w:t xml:space="preserve">Other </w:t>
      </w:r>
      <w:r w:rsidRPr="0019462B">
        <w:rPr>
          <w:i/>
          <w:color w:val="FA9A97" w:themeColor="accent1" w:themeTint="99"/>
          <w:sz w:val="24"/>
          <w:szCs w:val="24"/>
          <w:lang w:val="en-GB"/>
        </w:rPr>
        <w:t xml:space="preserve">Performance </w:t>
      </w:r>
      <w:r>
        <w:rPr>
          <w:i/>
          <w:color w:val="FA9A97" w:themeColor="accent1" w:themeTint="99"/>
          <w:sz w:val="24"/>
          <w:szCs w:val="24"/>
          <w:lang w:val="en-GB"/>
        </w:rPr>
        <w:t>Related Ratings</w:t>
      </w:r>
      <w:r w:rsidR="008214F8">
        <w:rPr>
          <w:i/>
          <w:color w:val="FA9A97" w:themeColor="accent1" w:themeTint="99"/>
          <w:sz w:val="24"/>
          <w:szCs w:val="24"/>
          <w:lang w:val="en-GB"/>
        </w:rPr>
        <w:t xml:space="preserve"> – TA, Impact and Risk</w:t>
      </w:r>
    </w:p>
    <w:p w14:paraId="7BA38BB6" w14:textId="33A887BB" w:rsidR="00DD785A" w:rsidRDefault="00BA35C1" w:rsidP="00EC65C8">
      <w:pPr>
        <w:pStyle w:val="Numberedpara"/>
      </w:pPr>
      <w:r>
        <w:rPr>
          <w:b/>
        </w:rPr>
        <w:t xml:space="preserve"> </w:t>
      </w:r>
      <w:r w:rsidR="00DD785A" w:rsidRPr="00DE09EF">
        <w:rPr>
          <w:b/>
        </w:rPr>
        <w:t>While the first two dimension are the most common and self-explanatory, the third dimension is the most important.</w:t>
      </w:r>
      <w:r w:rsidR="00DD785A" w:rsidRPr="00DE09EF">
        <w:t xml:space="preserve"> Focusing on how teams manage problems while pursuing reform helps teams to understand and explain </w:t>
      </w:r>
      <w:r w:rsidR="00C8650A">
        <w:t>achievements</w:t>
      </w:r>
      <w:r w:rsidR="00DD785A" w:rsidRPr="00DE09EF">
        <w:t>.</w:t>
      </w:r>
      <w:r w:rsidR="00C8650A">
        <w:t xml:space="preserve"> A fourth performance dimension</w:t>
      </w:r>
      <w:r w:rsidR="00DD785A" w:rsidRPr="00DE09EF">
        <w:t xml:space="preserve"> quantifies the amount of international and </w:t>
      </w:r>
      <w:r w:rsidR="00E24F6F">
        <w:t>national</w:t>
      </w:r>
      <w:r w:rsidR="007B73F4">
        <w:t xml:space="preserve"> technical a</w:t>
      </w:r>
      <w:r w:rsidR="00C8650A">
        <w:t>ssistance</w:t>
      </w:r>
      <w:r w:rsidR="00DD785A" w:rsidRPr="00DE09EF">
        <w:t xml:space="preserve"> provided in support of the reform activity. </w:t>
      </w:r>
    </w:p>
    <w:p w14:paraId="4C33B729" w14:textId="2EBD40D6" w:rsidR="00DD785A" w:rsidRPr="00DE09EF" w:rsidRDefault="00BA35C1" w:rsidP="00EC65C8">
      <w:pPr>
        <w:pStyle w:val="Numberedpara"/>
      </w:pPr>
      <w:r>
        <w:t xml:space="preserve"> </w:t>
      </w:r>
      <w:r w:rsidR="00DD785A" w:rsidRPr="00DE09EF">
        <w:t>This is tracked in order to:</w:t>
      </w:r>
    </w:p>
    <w:p w14:paraId="77067070" w14:textId="77726C63" w:rsidR="00DD785A" w:rsidRPr="00DE09EF" w:rsidRDefault="00DD785A" w:rsidP="00DD785A">
      <w:pPr>
        <w:pStyle w:val="ListBullet"/>
        <w:rPr>
          <w:lang w:val="en-GB"/>
        </w:rPr>
      </w:pPr>
      <w:r w:rsidRPr="00DE09EF">
        <w:rPr>
          <w:lang w:val="en-GB"/>
        </w:rPr>
        <w:t>Ensure that teams</w:t>
      </w:r>
      <w:r w:rsidR="00561768">
        <w:rPr>
          <w:lang w:val="en-GB"/>
        </w:rPr>
        <w:t xml:space="preserve"> being run by Afghans with low</w:t>
      </w:r>
      <w:r w:rsidRPr="00DE09EF">
        <w:rPr>
          <w:lang w:val="en-GB"/>
        </w:rPr>
        <w:t xml:space="preserve"> or no international TA are not disadvantaged in performance ratings; </w:t>
      </w:r>
    </w:p>
    <w:p w14:paraId="4D148301" w14:textId="77777777" w:rsidR="00DD785A" w:rsidRPr="00DE09EF" w:rsidRDefault="00DD785A" w:rsidP="00DD785A">
      <w:pPr>
        <w:pStyle w:val="ListBullet"/>
        <w:rPr>
          <w:lang w:val="en-GB"/>
        </w:rPr>
      </w:pPr>
      <w:r w:rsidRPr="00DE09EF">
        <w:rPr>
          <w:lang w:val="en-GB"/>
        </w:rPr>
        <w:t xml:space="preserve">Ensure teams that are being run with low levels of national consultants are not disadvantaged; and </w:t>
      </w:r>
    </w:p>
    <w:p w14:paraId="004EE222" w14:textId="20081BD5" w:rsidR="0019462B" w:rsidRPr="00341916" w:rsidRDefault="00DD785A" w:rsidP="009E176D">
      <w:pPr>
        <w:pStyle w:val="ListBullet"/>
        <w:rPr>
          <w:lang w:val="en-GB"/>
        </w:rPr>
      </w:pPr>
      <w:r w:rsidRPr="00DE09EF">
        <w:rPr>
          <w:lang w:val="en-GB"/>
        </w:rPr>
        <w:t xml:space="preserve">That the self-reliance agenda is a prominent component of the performance management system. </w:t>
      </w:r>
    </w:p>
    <w:p w14:paraId="10975CFB" w14:textId="75AD341D" w:rsidR="0019462B" w:rsidRPr="00BB28B0" w:rsidRDefault="00BA35C1" w:rsidP="00EC65C8">
      <w:pPr>
        <w:pStyle w:val="Numberedpara"/>
        <w:rPr>
          <w:rFonts w:ascii="Baskerville" w:hAnsi="Baskerville"/>
          <w:iCs/>
          <w:sz w:val="24"/>
        </w:rPr>
      </w:pPr>
      <w:r>
        <w:rPr>
          <w:b/>
          <w:bCs/>
        </w:rPr>
        <w:t xml:space="preserve"> </w:t>
      </w:r>
      <w:r w:rsidR="0019462B">
        <w:rPr>
          <w:b/>
          <w:bCs/>
        </w:rPr>
        <w:t>An assessment of the</w:t>
      </w:r>
      <w:r w:rsidR="0019462B" w:rsidRPr="00065C2E">
        <w:rPr>
          <w:b/>
          <w:bCs/>
        </w:rPr>
        <w:t xml:space="preserve"> impact </w:t>
      </w:r>
      <w:r w:rsidR="00561768">
        <w:rPr>
          <w:b/>
          <w:bCs/>
        </w:rPr>
        <w:t>(</w:t>
      </w:r>
      <w:r w:rsidR="0019462B" w:rsidRPr="00065C2E">
        <w:rPr>
          <w:b/>
          <w:bCs/>
        </w:rPr>
        <w:t>or importance</w:t>
      </w:r>
      <w:r w:rsidR="00561768">
        <w:rPr>
          <w:b/>
          <w:bCs/>
        </w:rPr>
        <w:t>)</w:t>
      </w:r>
      <w:r w:rsidR="0019462B" w:rsidRPr="00065C2E">
        <w:rPr>
          <w:b/>
          <w:bCs/>
        </w:rPr>
        <w:t xml:space="preserve"> and the</w:t>
      </w:r>
      <w:r w:rsidR="0019462B" w:rsidRPr="00065C2E">
        <w:rPr>
          <w:b/>
        </w:rPr>
        <w:t xml:space="preserve"> </w:t>
      </w:r>
      <w:r w:rsidR="0019462B" w:rsidRPr="00065C2E">
        <w:rPr>
          <w:b/>
          <w:bCs/>
        </w:rPr>
        <w:t>risk of failure or difficulty</w:t>
      </w:r>
      <w:r w:rsidR="0019462B" w:rsidRPr="00065C2E">
        <w:rPr>
          <w:bCs/>
        </w:rPr>
        <w:t xml:space="preserve"> </w:t>
      </w:r>
      <w:r w:rsidR="0019462B">
        <w:t>of</w:t>
      </w:r>
      <w:r w:rsidR="0019462B" w:rsidRPr="00065C2E">
        <w:t xml:space="preserve"> each reform activity </w:t>
      </w:r>
      <w:r w:rsidR="0019462B">
        <w:t>wa</w:t>
      </w:r>
      <w:r w:rsidR="00C8650A">
        <w:t>s undertaken. Scoring rules established for both these dimension</w:t>
      </w:r>
      <w:r w:rsidR="00762B0B" w:rsidRPr="00BA35C1">
        <w:t xml:space="preserve"> </w:t>
      </w:r>
      <w:r w:rsidR="00C8650A">
        <w:t>are</w:t>
      </w:r>
      <w:r w:rsidR="001D4911" w:rsidRPr="00BA35C1">
        <w:t xml:space="preserve"> in the implementation strategy</w:t>
      </w:r>
      <w:r w:rsidR="00762B0B" w:rsidRPr="00BA35C1">
        <w:t xml:space="preserve"> paper</w:t>
      </w:r>
      <w:r w:rsidR="00256607">
        <w:t xml:space="preserve"> noted above</w:t>
      </w:r>
      <w:r w:rsidR="0019462B">
        <w:t xml:space="preserve">. For example, </w:t>
      </w:r>
      <w:r w:rsidR="00C8650A">
        <w:t>assessment of the impact of an activity includes its contribution</w:t>
      </w:r>
      <w:r w:rsidR="0019462B">
        <w:t xml:space="preserve"> to achieving: i) improvements in international benchmarks (e.g. PEFA and OBI) and/or perception indexes; ii) more efficient and effective public services; and iii) stabili</w:t>
      </w:r>
      <w:r w:rsidR="007B73F4">
        <w:t>ty and legitimacy of Government</w:t>
      </w:r>
      <w:r w:rsidR="0019462B">
        <w:t xml:space="preserve">. </w:t>
      </w:r>
    </w:p>
    <w:p w14:paraId="19D6BAB7" w14:textId="660762B8" w:rsidR="0019462B" w:rsidRPr="00065C2E" w:rsidRDefault="00BA35C1" w:rsidP="00EC65C8">
      <w:pPr>
        <w:pStyle w:val="Numberedpara"/>
        <w:rPr>
          <w:rFonts w:ascii="Baskerville" w:hAnsi="Baskerville"/>
          <w:iCs/>
          <w:sz w:val="24"/>
        </w:rPr>
      </w:pPr>
      <w:r>
        <w:rPr>
          <w:b/>
        </w:rPr>
        <w:t xml:space="preserve"> </w:t>
      </w:r>
      <w:r w:rsidR="001D4911">
        <w:rPr>
          <w:b/>
        </w:rPr>
        <w:t>Rating the</w:t>
      </w:r>
      <w:r w:rsidR="0019462B" w:rsidRPr="00BB28B0">
        <w:rPr>
          <w:b/>
        </w:rPr>
        <w:t xml:space="preserve"> risk o</w:t>
      </w:r>
      <w:r w:rsidR="007B73F4">
        <w:rPr>
          <w:b/>
        </w:rPr>
        <w:t>f failure of an activity is</w:t>
      </w:r>
      <w:r w:rsidR="00C8650A">
        <w:rPr>
          <w:b/>
        </w:rPr>
        <w:t xml:space="preserve"> in</w:t>
      </w:r>
      <w:r w:rsidR="0019462B" w:rsidRPr="00BB28B0">
        <w:rPr>
          <w:b/>
        </w:rPr>
        <w:t xml:space="preserve"> six different dimensions</w:t>
      </w:r>
      <w:r w:rsidR="0019462B">
        <w:t>. This is to help deliver a more objective risk assessmen</w:t>
      </w:r>
      <w:r w:rsidR="00561768">
        <w:t>t rather than</w:t>
      </w:r>
      <w:r w:rsidR="0019462B">
        <w:t xml:space="preserve"> one based simply on opinion. These dimensions are drawn from the Diamond approach</w:t>
      </w:r>
      <w:bookmarkStart w:id="14" w:name="_Ref443215591"/>
      <w:r w:rsidR="00204B77" w:rsidRPr="00FE5C2E">
        <w:rPr>
          <w:vertAlign w:val="superscript"/>
        </w:rPr>
        <w:footnoteReference w:id="9"/>
      </w:r>
      <w:bookmarkEnd w:id="14"/>
      <w:r w:rsidR="0019462B">
        <w:t xml:space="preserve"> and are: </w:t>
      </w:r>
    </w:p>
    <w:p w14:paraId="5DC5B46D" w14:textId="3B4F1B95" w:rsidR="0019462B" w:rsidRPr="00BB28B0" w:rsidRDefault="0019462B" w:rsidP="00762B0B">
      <w:pPr>
        <w:pStyle w:val="ListBullet"/>
        <w:rPr>
          <w:lang w:val="en-GB"/>
        </w:rPr>
      </w:pPr>
      <w:r w:rsidRPr="008D62D5">
        <w:rPr>
          <w:b/>
          <w:i/>
          <w:lang w:val="en-GB"/>
        </w:rPr>
        <w:t xml:space="preserve">Number of </w:t>
      </w:r>
      <w:r>
        <w:rPr>
          <w:b/>
          <w:i/>
          <w:lang w:val="en-GB"/>
        </w:rPr>
        <w:t>o</w:t>
      </w:r>
      <w:r w:rsidRPr="008D62D5">
        <w:rPr>
          <w:b/>
          <w:i/>
          <w:lang w:val="en-GB"/>
        </w:rPr>
        <w:t>rganisations</w:t>
      </w:r>
      <w:r>
        <w:rPr>
          <w:lang w:val="en-GB"/>
        </w:rPr>
        <w:t xml:space="preserve"> </w:t>
      </w:r>
      <w:r w:rsidRPr="008D62D5">
        <w:rPr>
          <w:b/>
          <w:i/>
          <w:lang w:val="en-GB"/>
        </w:rPr>
        <w:t>required</w:t>
      </w:r>
      <w:r>
        <w:rPr>
          <w:lang w:val="en-GB"/>
        </w:rPr>
        <w:t xml:space="preserve"> – more organisations means a higher risk of failure.</w:t>
      </w:r>
    </w:p>
    <w:p w14:paraId="04A7B169" w14:textId="4AE69C75" w:rsidR="0019462B" w:rsidRPr="00BB28B0" w:rsidRDefault="0019462B" w:rsidP="00762B0B">
      <w:pPr>
        <w:pStyle w:val="ListBullet"/>
        <w:rPr>
          <w:lang w:val="en-GB"/>
        </w:rPr>
      </w:pPr>
      <w:r w:rsidRPr="008D62D5">
        <w:rPr>
          <w:b/>
          <w:i/>
          <w:lang w:val="en-GB"/>
        </w:rPr>
        <w:t>The time required</w:t>
      </w:r>
      <w:r>
        <w:rPr>
          <w:lang w:val="en-GB"/>
        </w:rPr>
        <w:t xml:space="preserve"> – the lon</w:t>
      </w:r>
      <w:r w:rsidR="00C8650A">
        <w:rPr>
          <w:lang w:val="en-GB"/>
        </w:rPr>
        <w:t>ger it takes</w:t>
      </w:r>
      <w:r>
        <w:rPr>
          <w:lang w:val="en-GB"/>
        </w:rPr>
        <w:t xml:space="preserve"> means a higher risk of failure</w:t>
      </w:r>
    </w:p>
    <w:p w14:paraId="304DCDA1" w14:textId="3821F6EF" w:rsidR="0019462B" w:rsidRPr="00BB28B0" w:rsidRDefault="0019462B" w:rsidP="00762B0B">
      <w:pPr>
        <w:pStyle w:val="ListBullet"/>
        <w:rPr>
          <w:lang w:val="en-GB"/>
        </w:rPr>
      </w:pPr>
      <w:r w:rsidRPr="008D62D5">
        <w:rPr>
          <w:b/>
          <w:i/>
          <w:lang w:val="en-GB"/>
        </w:rPr>
        <w:t>Complexity and scope</w:t>
      </w:r>
      <w:r w:rsidR="007B73F4">
        <w:rPr>
          <w:lang w:val="en-GB"/>
        </w:rPr>
        <w:t xml:space="preserve"> – the more complex an</w:t>
      </w:r>
      <w:r>
        <w:rPr>
          <w:lang w:val="en-GB"/>
        </w:rPr>
        <w:t xml:space="preserve"> activity or the wider the scope means a higher risk of failure</w:t>
      </w:r>
    </w:p>
    <w:p w14:paraId="33D67414" w14:textId="77777777" w:rsidR="0019462B" w:rsidRPr="00BB28B0" w:rsidRDefault="0019462B" w:rsidP="00762B0B">
      <w:pPr>
        <w:pStyle w:val="ListBullet"/>
        <w:rPr>
          <w:lang w:val="en-GB"/>
        </w:rPr>
      </w:pPr>
      <w:r w:rsidRPr="008D62D5">
        <w:rPr>
          <w:b/>
          <w:i/>
          <w:lang w:val="en-GB"/>
        </w:rPr>
        <w:t>Behaviour change required</w:t>
      </w:r>
      <w:r>
        <w:rPr>
          <w:lang w:val="en-GB"/>
        </w:rPr>
        <w:t xml:space="preserve"> – the more behaviour change required the higher risk of failure. If a lot of change is required of a few people or a small amount of change of a lot people both imply a higher risk of failure. </w:t>
      </w:r>
    </w:p>
    <w:p w14:paraId="452FEDE5" w14:textId="606FE06F" w:rsidR="0019462B" w:rsidRPr="00BB28B0" w:rsidRDefault="0019462B" w:rsidP="00762B0B">
      <w:pPr>
        <w:pStyle w:val="ListBullet"/>
        <w:rPr>
          <w:lang w:val="en-GB"/>
        </w:rPr>
      </w:pPr>
      <w:r w:rsidRPr="008D62D5">
        <w:rPr>
          <w:b/>
          <w:i/>
          <w:lang w:val="en-GB"/>
        </w:rPr>
        <w:lastRenderedPageBreak/>
        <w:t>Visibility</w:t>
      </w:r>
      <w:r>
        <w:rPr>
          <w:lang w:val="en-GB"/>
        </w:rPr>
        <w:t xml:space="preserve"> – the more visible an activity is, or how easy it is to link it to real results, means that the risk</w:t>
      </w:r>
      <w:r w:rsidR="007B73F4">
        <w:rPr>
          <w:lang w:val="en-GB"/>
        </w:rPr>
        <w:t xml:space="preserve"> of failure is reduced (e.g. </w:t>
      </w:r>
      <w:r>
        <w:rPr>
          <w:lang w:val="en-GB"/>
        </w:rPr>
        <w:t>political support makes it easier to overcome problems); and</w:t>
      </w:r>
    </w:p>
    <w:p w14:paraId="5AC640BB" w14:textId="6CEECC00" w:rsidR="0019462B" w:rsidRPr="008D62D5" w:rsidRDefault="00204B77" w:rsidP="00762B0B">
      <w:pPr>
        <w:pStyle w:val="ListBullet"/>
        <w:rPr>
          <w:b/>
          <w:lang w:val="en-GB"/>
        </w:rPr>
      </w:pPr>
      <w:r>
        <w:rPr>
          <w:b/>
          <w:i/>
          <w:lang w:val="en-GB"/>
        </w:rPr>
        <w:t>Existing f</w:t>
      </w:r>
      <w:r w:rsidR="0019462B" w:rsidRPr="008D62D5">
        <w:rPr>
          <w:b/>
          <w:i/>
          <w:lang w:val="en-GB"/>
        </w:rPr>
        <w:t>iscal management competencies</w:t>
      </w:r>
      <w:r w:rsidR="0019462B" w:rsidRPr="008D62D5">
        <w:rPr>
          <w:b/>
          <w:lang w:val="en-GB"/>
        </w:rPr>
        <w:t xml:space="preserve"> </w:t>
      </w:r>
      <w:r w:rsidR="0019462B">
        <w:rPr>
          <w:lang w:val="en-GB"/>
        </w:rPr>
        <w:t xml:space="preserve">– the greater the capacity for performing fiscal management the lower the risk of failure. </w:t>
      </w:r>
      <w:r w:rsidR="00C8650A">
        <w:rPr>
          <w:lang w:val="en-GB"/>
        </w:rPr>
        <w:t>This dimension is</w:t>
      </w:r>
      <w:r w:rsidR="00FE560E">
        <w:rPr>
          <w:lang w:val="en-GB"/>
        </w:rPr>
        <w:t xml:space="preserve"> a proxy for the need for technical assistance. </w:t>
      </w:r>
    </w:p>
    <w:p w14:paraId="02AE3E46" w14:textId="62C49093" w:rsidR="0019462B" w:rsidRPr="00E95169" w:rsidRDefault="00E9748A" w:rsidP="00EC65C8">
      <w:pPr>
        <w:pStyle w:val="Numberedpara"/>
        <w:rPr>
          <w:rFonts w:ascii="Baskerville" w:hAnsi="Baskerville"/>
          <w:iCs/>
          <w:sz w:val="24"/>
        </w:rPr>
      </w:pPr>
      <w:r>
        <w:rPr>
          <w:b/>
        </w:rPr>
        <w:t xml:space="preserve"> </w:t>
      </w:r>
      <w:r w:rsidR="0019462B" w:rsidRPr="00BB28B0">
        <w:rPr>
          <w:b/>
        </w:rPr>
        <w:t>Ratings used</w:t>
      </w:r>
      <w:r w:rsidR="00C8650A">
        <w:t xml:space="preserve"> are</w:t>
      </w:r>
      <w:r w:rsidR="0019462B">
        <w:t xml:space="preserve"> high, substantia</w:t>
      </w:r>
      <w:r w:rsidR="00561768">
        <w:t>l, moderate, and low, which are all</w:t>
      </w:r>
      <w:r w:rsidR="0019462B">
        <w:t xml:space="preserve"> assigned numerical equivalents. Both raw sco</w:t>
      </w:r>
      <w:r w:rsidR="00BF731E">
        <w:t>res and standardized scores</w:t>
      </w:r>
      <w:r w:rsidR="0019462B">
        <w:t xml:space="preserve">, which are equivalent to the notions of relative impact and relative risk. </w:t>
      </w:r>
    </w:p>
    <w:p w14:paraId="587CA014" w14:textId="29EB4C38" w:rsidR="0019462B" w:rsidRPr="00341916" w:rsidRDefault="00E9748A" w:rsidP="00EC65C8">
      <w:pPr>
        <w:pStyle w:val="Numberedpara"/>
      </w:pPr>
      <w:r>
        <w:rPr>
          <w:b/>
        </w:rPr>
        <w:t xml:space="preserve"> </w:t>
      </w:r>
      <w:r w:rsidR="0019462B" w:rsidRPr="00FE5C2E">
        <w:rPr>
          <w:b/>
        </w:rPr>
        <w:t>These two components</w:t>
      </w:r>
      <w:r w:rsidR="0019462B">
        <w:rPr>
          <w:b/>
        </w:rPr>
        <w:t xml:space="preserve"> of risk and impact</w:t>
      </w:r>
      <w:r w:rsidR="0019462B" w:rsidRPr="00FE5C2E">
        <w:rPr>
          <w:b/>
        </w:rPr>
        <w:t xml:space="preserve"> are particularly important for reform programming and team-based performance management</w:t>
      </w:r>
      <w:r w:rsidR="0019462B" w:rsidRPr="00FE5C2E">
        <w:t xml:space="preserve">. Firstly, they allow </w:t>
      </w:r>
      <w:r w:rsidR="0019462B">
        <w:t>for an objective</w:t>
      </w:r>
      <w:r w:rsidR="0019462B" w:rsidRPr="00FE5C2E">
        <w:t xml:space="preserve"> assess</w:t>
      </w:r>
      <w:r w:rsidR="0019462B">
        <w:t>ment of the</w:t>
      </w:r>
      <w:r w:rsidR="0019462B" w:rsidRPr="00FE5C2E">
        <w:t xml:space="preserve"> risk of failure of a reform option. Secondly, it allows </w:t>
      </w:r>
      <w:r w:rsidR="00BF731E">
        <w:t xml:space="preserve">for review of </w:t>
      </w:r>
      <w:r w:rsidR="0019462B" w:rsidRPr="00FE5C2E">
        <w:t xml:space="preserve">high risk and high impact activities in a way that </w:t>
      </w:r>
      <w:r w:rsidR="00BF731E">
        <w:t xml:space="preserve">reduces </w:t>
      </w:r>
      <w:r w:rsidR="0019462B" w:rsidRPr="00FE5C2E">
        <w:t>the risk o</w:t>
      </w:r>
      <w:r w:rsidR="00BF731E">
        <w:t>f failure</w:t>
      </w:r>
      <w:r w:rsidR="0019462B" w:rsidRPr="00FE5C2E">
        <w:t xml:space="preserve"> (e.g. by splitting the activity into phases</w:t>
      </w:r>
      <w:r w:rsidR="00BF731E">
        <w:t>). Thirdly, it facilitates team-</w:t>
      </w:r>
      <w:r w:rsidR="0019462B" w:rsidRPr="00FE5C2E">
        <w:t>based performance management by recogni</w:t>
      </w:r>
      <w:r w:rsidR="00BF731E">
        <w:t>sing that some teams are focus</w:t>
      </w:r>
      <w:r w:rsidR="0019462B" w:rsidRPr="00FE5C2E">
        <w:t xml:space="preserve"> on more difficult and important work compared to other teams. It also provides a solid foundation to produce defendable league tables of reform performance during implementation. </w:t>
      </w:r>
    </w:p>
    <w:p w14:paraId="456B62DF" w14:textId="5D863479" w:rsidR="00DD785A" w:rsidRPr="00874CB7" w:rsidRDefault="00EF23B7" w:rsidP="00F16BE9">
      <w:pPr>
        <w:pStyle w:val="Subtitle"/>
        <w:spacing w:before="240"/>
        <w:jc w:val="both"/>
        <w:rPr>
          <w:sz w:val="24"/>
          <w:szCs w:val="24"/>
          <w:lang w:val="en-GB"/>
        </w:rPr>
      </w:pPr>
      <w:r>
        <w:rPr>
          <w:sz w:val="24"/>
          <w:szCs w:val="24"/>
          <w:lang w:val="en-GB"/>
        </w:rPr>
        <w:t xml:space="preserve">Routine </w:t>
      </w:r>
      <w:r w:rsidR="00F16BE9">
        <w:rPr>
          <w:sz w:val="24"/>
          <w:szCs w:val="24"/>
          <w:lang w:val="en-GB"/>
        </w:rPr>
        <w:t>Performance Reviews</w:t>
      </w:r>
      <w:r>
        <w:rPr>
          <w:sz w:val="24"/>
          <w:szCs w:val="24"/>
          <w:lang w:val="en-GB"/>
        </w:rPr>
        <w:t xml:space="preserve"> – following the budget cycle</w:t>
      </w:r>
    </w:p>
    <w:p w14:paraId="7F5A2509" w14:textId="5609A1F4" w:rsidR="00DD785A" w:rsidRPr="00DE09EF" w:rsidRDefault="00BF731E" w:rsidP="00EC65C8">
      <w:pPr>
        <w:pStyle w:val="Numberedpara"/>
      </w:pPr>
      <w:r>
        <w:rPr>
          <w:b/>
        </w:rPr>
        <w:t xml:space="preserve"> The Government will produce t</w:t>
      </w:r>
      <w:r w:rsidR="00DD785A" w:rsidRPr="00DE09EF">
        <w:rPr>
          <w:b/>
        </w:rPr>
        <w:t>wo performance reports every year.</w:t>
      </w:r>
      <w:r>
        <w:t xml:space="preserve"> The system</w:t>
      </w:r>
      <w:r w:rsidR="00DD785A" w:rsidRPr="00DE09EF">
        <w:t xml:space="preserve"> work</w:t>
      </w:r>
      <w:r>
        <w:t>s</w:t>
      </w:r>
      <w:r w:rsidR="00DD785A" w:rsidRPr="00DE09EF">
        <w:t xml:space="preserve"> within existing management systems with the PMT facilitating performance reporting on team-based plans. This will enable implementers to implement and not ov</w:t>
      </w:r>
      <w:r>
        <w:t>erburden teams with</w:t>
      </w:r>
      <w:r w:rsidR="00DD785A" w:rsidRPr="00DE09EF">
        <w:t xml:space="preserve"> reporting while at the same time improving the amount </w:t>
      </w:r>
      <w:r>
        <w:t>of performance information</w:t>
      </w:r>
      <w:r w:rsidR="00DD785A" w:rsidRPr="00DE09EF">
        <w:t xml:space="preserve"> generated ac</w:t>
      </w:r>
      <w:r>
        <w:t xml:space="preserve">ross the Government. Teams are </w:t>
      </w:r>
      <w:r w:rsidR="00DD785A" w:rsidRPr="00DE09EF">
        <w:t>account</w:t>
      </w:r>
      <w:r>
        <w:t>able</w:t>
      </w:r>
      <w:r w:rsidR="00DD785A" w:rsidRPr="00DE09EF">
        <w:t xml:space="preserve"> for performance through various mechanisms including facilitated self-assessment, publishing of league tables ranking each team against one another and by requiring teams to explain their performance to their leadership in six monthly validation meetings. </w:t>
      </w:r>
    </w:p>
    <w:p w14:paraId="404BB45E" w14:textId="42D7BAA3" w:rsidR="00DD785A" w:rsidRPr="00DE09EF" w:rsidRDefault="00E9748A" w:rsidP="00EC65C8">
      <w:pPr>
        <w:pStyle w:val="Numberedpara"/>
      </w:pPr>
      <w:r>
        <w:t xml:space="preserve"> </w:t>
      </w:r>
      <w:r w:rsidR="00DD785A" w:rsidRPr="00DE09EF">
        <w:t xml:space="preserve">Performance assessments will be twice per year: </w:t>
      </w:r>
    </w:p>
    <w:p w14:paraId="33535BC8" w14:textId="5B2D4FEB" w:rsidR="00DD785A" w:rsidRPr="00DE09EF" w:rsidRDefault="00DD785A" w:rsidP="00DD785A">
      <w:pPr>
        <w:pStyle w:val="ListBullet"/>
        <w:rPr>
          <w:lang w:val="en-GB"/>
        </w:rPr>
      </w:pPr>
      <w:r w:rsidRPr="00DE09EF">
        <w:rPr>
          <w:b/>
          <w:i/>
          <w:lang w:val="en-GB"/>
        </w:rPr>
        <w:t>In the first half of the year</w:t>
      </w:r>
      <w:r w:rsidRPr="00DE09EF">
        <w:rPr>
          <w:b/>
          <w:lang w:val="en-GB"/>
        </w:rPr>
        <w:t>.</w:t>
      </w:r>
      <w:r w:rsidRPr="00DE09EF">
        <w:rPr>
          <w:lang w:val="en-GB"/>
        </w:rPr>
        <w:t xml:space="preserve"> To help ensure efforts are on track to deliver annual reform actions by the end of the year, but also to ensure relevance of reform activities being undertaken and validate </w:t>
      </w:r>
      <w:r w:rsidR="003E4189">
        <w:rPr>
          <w:lang w:val="en-GB"/>
        </w:rPr>
        <w:t xml:space="preserve">any </w:t>
      </w:r>
      <w:r w:rsidRPr="00DE09EF">
        <w:rPr>
          <w:lang w:val="en-GB"/>
        </w:rPr>
        <w:t xml:space="preserve">donor performance payments for the following year; and </w:t>
      </w:r>
    </w:p>
    <w:p w14:paraId="717CE0EE" w14:textId="39A032C8" w:rsidR="009776B9" w:rsidRPr="0019462B" w:rsidRDefault="00DD785A" w:rsidP="009776B9">
      <w:pPr>
        <w:pStyle w:val="ListBullet"/>
        <w:rPr>
          <w:rFonts w:asciiTheme="majorHAnsi" w:hAnsiTheme="majorHAnsi" w:cstheme="majorBidi"/>
          <w:b/>
          <w:caps/>
          <w:color w:val="2A2A2A" w:themeColor="text2"/>
          <w:sz w:val="28"/>
          <w:szCs w:val="26"/>
          <w:lang w:val="en-GB"/>
        </w:rPr>
      </w:pPr>
      <w:r w:rsidRPr="00DE09EF">
        <w:rPr>
          <w:b/>
          <w:i/>
          <w:lang w:val="en-GB"/>
        </w:rPr>
        <w:t>Near the end of the year</w:t>
      </w:r>
      <w:r w:rsidRPr="00DE09EF">
        <w:rPr>
          <w:b/>
          <w:lang w:val="en-GB"/>
        </w:rPr>
        <w:t>.</w:t>
      </w:r>
      <w:r w:rsidRPr="00DE09EF">
        <w:rPr>
          <w:lang w:val="en-GB"/>
        </w:rPr>
        <w:t xml:space="preserve"> To assess end-of-year progress (with time to spare to correct any major problems), but also to trigger and finalize any linked performance payments to be made in the following year, while also ensuring that the best estimates of any programmatic budget support are included in the annual budget papers. </w:t>
      </w:r>
    </w:p>
    <w:p w14:paraId="4213F3B8" w14:textId="527B2DB5" w:rsidR="0019462B" w:rsidRDefault="007B73F4" w:rsidP="00EC65C8">
      <w:pPr>
        <w:pStyle w:val="Numberedpara"/>
      </w:pPr>
      <w:r>
        <w:rPr>
          <w:b/>
        </w:rPr>
        <w:t xml:space="preserve"> </w:t>
      </w:r>
      <w:r w:rsidR="0019462B" w:rsidRPr="0019462B">
        <w:rPr>
          <w:b/>
        </w:rPr>
        <w:t xml:space="preserve">At the end of every </w:t>
      </w:r>
      <w:r w:rsidR="00256607" w:rsidRPr="0019462B">
        <w:rPr>
          <w:b/>
        </w:rPr>
        <w:t>year,</w:t>
      </w:r>
      <w:r w:rsidR="0019462B" w:rsidRPr="0019462B">
        <w:rPr>
          <w:b/>
        </w:rPr>
        <w:t xml:space="preserve"> </w:t>
      </w:r>
      <w:r w:rsidR="00BF731E">
        <w:rPr>
          <w:b/>
        </w:rPr>
        <w:t xml:space="preserve">we will produce </w:t>
      </w:r>
      <w:r w:rsidR="0019462B" w:rsidRPr="0019462B">
        <w:rPr>
          <w:b/>
        </w:rPr>
        <w:t xml:space="preserve">a new </w:t>
      </w:r>
      <w:r w:rsidR="00256607" w:rsidRPr="0019462B">
        <w:rPr>
          <w:b/>
        </w:rPr>
        <w:t>5-year</w:t>
      </w:r>
      <w:r w:rsidR="0019462B" w:rsidRPr="0019462B">
        <w:rPr>
          <w:b/>
        </w:rPr>
        <w:t xml:space="preserve"> plan. </w:t>
      </w:r>
      <w:r w:rsidR="0019462B">
        <w:t xml:space="preserve">This will involve rolling over the next year’s plan to the new current year’s plan, subject to progress made during the current year. </w:t>
      </w:r>
      <w:r w:rsidR="00BF731E">
        <w:t>Rolling forward s</w:t>
      </w:r>
      <w:r w:rsidR="0019462B">
        <w:t xml:space="preserve">ome activities from the current year </w:t>
      </w:r>
      <w:r w:rsidR="00BF731E">
        <w:t xml:space="preserve">into next year </w:t>
      </w:r>
      <w:r w:rsidR="0019462B">
        <w:t xml:space="preserve">will </w:t>
      </w:r>
      <w:r w:rsidR="00BF731E">
        <w:t>occur</w:t>
      </w:r>
      <w:r w:rsidR="0019462B">
        <w:t xml:space="preserve"> if </w:t>
      </w:r>
      <w:r w:rsidR="00BF731E">
        <w:t>there is insufficient progress</w:t>
      </w:r>
      <w:r w:rsidR="0019462B">
        <w:t xml:space="preserve">. </w:t>
      </w:r>
      <w:r w:rsidR="00BF731E">
        <w:t>Review of future</w:t>
      </w:r>
      <w:r w:rsidR="0019462B">
        <w:t xml:space="preserve"> year activit</w:t>
      </w:r>
      <w:r w:rsidR="00BF731E">
        <w:t>ies will be in light of progress. Expectations are</w:t>
      </w:r>
      <w:r w:rsidR="0019462B">
        <w:t xml:space="preserve"> that some activities </w:t>
      </w:r>
      <w:r w:rsidR="00BF731E">
        <w:t>drop off and new activities</w:t>
      </w:r>
      <w:r w:rsidR="0019462B">
        <w:t xml:space="preserve"> taken on due to changing priorities.</w:t>
      </w:r>
    </w:p>
    <w:p w14:paraId="38E4A28E" w14:textId="77777777" w:rsidR="00E81A67" w:rsidRPr="00355B16" w:rsidRDefault="00E81A67" w:rsidP="00E81A67">
      <w:pPr>
        <w:pStyle w:val="FigureHeader"/>
      </w:pPr>
      <w:bookmarkStart w:id="15" w:name="_Toc457162650"/>
      <w:r>
        <w:lastRenderedPageBreak/>
        <w:t>The 2016 – 17 Performance Management Cycle</w:t>
      </w:r>
      <w:bookmarkEnd w:id="15"/>
    </w:p>
    <w:p w14:paraId="363CFDC0" w14:textId="77777777" w:rsidR="00E81A67" w:rsidRDefault="00E81A67" w:rsidP="00E81A67">
      <w:pPr>
        <w:pStyle w:val="Numberedpara"/>
        <w:numPr>
          <w:ilvl w:val="0"/>
          <w:numId w:val="0"/>
        </w:numPr>
        <w:rPr>
          <w:b/>
        </w:rPr>
      </w:pPr>
      <w:r w:rsidRPr="0015539E">
        <w:rPr>
          <w:b/>
          <w:noProof/>
          <w:lang w:val="en-US" w:eastAsia="en-US"/>
        </w:rPr>
        <w:drawing>
          <wp:inline distT="0" distB="0" distL="0" distR="0" wp14:anchorId="5CDF7242" wp14:editId="032F4112">
            <wp:extent cx="5429250" cy="2819400"/>
            <wp:effectExtent l="0" t="0" r="3175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A955763" w14:textId="77777777" w:rsidR="00E81A67" w:rsidRPr="00DE09EF" w:rsidRDefault="00E81A67" w:rsidP="00E81A67"/>
    <w:p w14:paraId="42CD17C8" w14:textId="15DCE354" w:rsidR="00CA701A" w:rsidRPr="00060715" w:rsidRDefault="00CA701A" w:rsidP="00060715">
      <w:pPr>
        <w:pStyle w:val="Heading2"/>
      </w:pPr>
      <w:bookmarkStart w:id="16" w:name="_Toc457162620"/>
      <w:r w:rsidRPr="00060715">
        <w:t xml:space="preserve">Team-Led Reforms – </w:t>
      </w:r>
      <w:r w:rsidR="004678F3" w:rsidRPr="00060715">
        <w:t>Every Team M</w:t>
      </w:r>
      <w:r w:rsidR="00F83805" w:rsidRPr="00060715">
        <w:t>atters</w:t>
      </w:r>
      <w:bookmarkEnd w:id="16"/>
    </w:p>
    <w:p w14:paraId="0A3683F3" w14:textId="29F6E562" w:rsidR="00CC43AE" w:rsidRDefault="007B73F4" w:rsidP="00EC65C8">
      <w:pPr>
        <w:pStyle w:val="Numberedpara"/>
      </w:pPr>
      <w:r>
        <w:t xml:space="preserve"> </w:t>
      </w:r>
      <w:r w:rsidR="00CC43AE" w:rsidRPr="007B73F4">
        <w:rPr>
          <w:b/>
        </w:rPr>
        <w:t>The principle that every team matters is at the heart of the performance management culture the Government is trying to foster.</w:t>
      </w:r>
      <w:r w:rsidR="00BF731E">
        <w:t xml:space="preserve"> D</w:t>
      </w:r>
      <w:r w:rsidR="00CC43AE">
        <w:t xml:space="preserve">evelopment </w:t>
      </w:r>
      <w:r w:rsidR="00BF731E">
        <w:t>agencies often make much</w:t>
      </w:r>
      <w:r w:rsidR="00CC43AE">
        <w:t xml:space="preserve"> about institutional </w:t>
      </w:r>
      <w:r w:rsidR="0092119A">
        <w:t>capacity building but typically</w:t>
      </w:r>
      <w:r w:rsidR="00CC43AE">
        <w:t xml:space="preserve">, </w:t>
      </w:r>
      <w:r w:rsidR="00BF731E">
        <w:t>make much more effort</w:t>
      </w:r>
      <w:r w:rsidR="00CC43AE">
        <w:t xml:space="preserve"> to support the areas considered critical to policy outcomes</w:t>
      </w:r>
      <w:r w:rsidR="00B40BC8">
        <w:t xml:space="preserve"> relative to</w:t>
      </w:r>
      <w:r w:rsidR="0092119A">
        <w:t xml:space="preserve"> building the foundations of local institutions</w:t>
      </w:r>
      <w:r w:rsidR="00CC43AE">
        <w:t>. In the area of Public Financial Manag</w:t>
      </w:r>
      <w:r w:rsidR="004F3795">
        <w:t>ement, that invariably means prioritising</w:t>
      </w:r>
      <w:r w:rsidR="00CC43AE">
        <w:t xml:space="preserve"> Budget, Treasury, Revenue</w:t>
      </w:r>
      <w:r w:rsidR="004F3795">
        <w:t>,</w:t>
      </w:r>
      <w:r w:rsidR="00CC43AE">
        <w:t xml:space="preserve"> and Macr</w:t>
      </w:r>
      <w:r w:rsidR="004F3795">
        <w:t>oeconomic policy</w:t>
      </w:r>
      <w:r w:rsidR="00CC43AE">
        <w:t xml:space="preserve"> over HR, finance, administration, IT and security. During a crisi</w:t>
      </w:r>
      <w:r w:rsidR="005928C7">
        <w:t>s</w:t>
      </w:r>
      <w:r w:rsidR="00CC43AE">
        <w:t xml:space="preserve"> phase such as prevailed in Afghanistan a decade ago, this is unders</w:t>
      </w:r>
      <w:r w:rsidR="004F3795">
        <w:t>tandable. Delivery of the budget</w:t>
      </w:r>
      <w:r w:rsidR="00CC43AE">
        <w:t xml:space="preserve"> </w:t>
      </w:r>
      <w:r w:rsidR="004F3795">
        <w:t xml:space="preserve">using </w:t>
      </w:r>
      <w:r w:rsidR="00CC43AE">
        <w:t>external support</w:t>
      </w:r>
      <w:r w:rsidR="004F3795">
        <w:t xml:space="preserve"> was the standard</w:t>
      </w:r>
      <w:r w:rsidR="00CC43AE">
        <w:t xml:space="preserve">. </w:t>
      </w:r>
      <w:r w:rsidR="0092119A">
        <w:t xml:space="preserve">However, this is unsustainable in the longer-term and a meaningful transition has to occur at some point. </w:t>
      </w:r>
      <w:r w:rsidR="00CC43AE">
        <w:t xml:space="preserve">Analysis shows that since </w:t>
      </w:r>
      <w:r w:rsidR="00256607">
        <w:t>2010,</w:t>
      </w:r>
      <w:r w:rsidR="00CC43AE">
        <w:t xml:space="preserve"> progress on reforms has stalled and donors </w:t>
      </w:r>
      <w:r w:rsidR="0092119A">
        <w:t xml:space="preserve">continue to </w:t>
      </w:r>
      <w:r w:rsidR="00CC43AE">
        <w:t xml:space="preserve">lament a lack of ownership by Government officials. </w:t>
      </w:r>
    </w:p>
    <w:p w14:paraId="30A98C3C" w14:textId="75ED4CD8" w:rsidR="00CC43AE" w:rsidRDefault="00B40BC8" w:rsidP="00EC65C8">
      <w:pPr>
        <w:pStyle w:val="Numberedpara"/>
      </w:pPr>
      <w:r>
        <w:rPr>
          <w:b/>
        </w:rPr>
        <w:t xml:space="preserve"> </w:t>
      </w:r>
      <w:r w:rsidR="00CC43AE" w:rsidRPr="00B40BC8">
        <w:rPr>
          <w:b/>
        </w:rPr>
        <w:t xml:space="preserve">In reality, </w:t>
      </w:r>
      <w:r w:rsidR="0092119A" w:rsidRPr="00B40BC8">
        <w:rPr>
          <w:b/>
        </w:rPr>
        <w:t xml:space="preserve">the capacity </w:t>
      </w:r>
      <w:r>
        <w:rPr>
          <w:b/>
        </w:rPr>
        <w:t xml:space="preserve">of the Government </w:t>
      </w:r>
      <w:r w:rsidR="0092119A" w:rsidRPr="00B40BC8">
        <w:rPr>
          <w:b/>
        </w:rPr>
        <w:t>in</w:t>
      </w:r>
      <w:r w:rsidR="00CC43AE" w:rsidRPr="00B40BC8">
        <w:rPr>
          <w:b/>
        </w:rPr>
        <w:t xml:space="preserve"> a number of core functions </w:t>
      </w:r>
      <w:r>
        <w:rPr>
          <w:b/>
        </w:rPr>
        <w:t>(</w:t>
      </w:r>
      <w:r w:rsidR="00CC43AE" w:rsidRPr="00B40BC8">
        <w:rPr>
          <w:b/>
        </w:rPr>
        <w:t>in the MOF and other ministries</w:t>
      </w:r>
      <w:r>
        <w:rPr>
          <w:b/>
        </w:rPr>
        <w:t>)</w:t>
      </w:r>
      <w:r w:rsidR="00CC43AE" w:rsidRPr="00B40BC8">
        <w:rPr>
          <w:b/>
        </w:rPr>
        <w:t xml:space="preserve"> such as HR, fina</w:t>
      </w:r>
      <w:r w:rsidR="0092119A" w:rsidRPr="00B40BC8">
        <w:rPr>
          <w:b/>
        </w:rPr>
        <w:t>n</w:t>
      </w:r>
      <w:r w:rsidR="00CC43AE" w:rsidRPr="00B40BC8">
        <w:rPr>
          <w:b/>
        </w:rPr>
        <w:t>ce and administrat</w:t>
      </w:r>
      <w:r w:rsidR="004F3795">
        <w:rPr>
          <w:b/>
        </w:rPr>
        <w:t>ion remains</w:t>
      </w:r>
      <w:r w:rsidR="00881DD1">
        <w:rPr>
          <w:b/>
        </w:rPr>
        <w:t xml:space="preserve"> low, </w:t>
      </w:r>
      <w:r w:rsidR="004F3795">
        <w:t>and</w:t>
      </w:r>
      <w:r w:rsidR="00881DD1" w:rsidRPr="00881DD1">
        <w:t xml:space="preserve"> (all but)</w:t>
      </w:r>
      <w:r w:rsidR="00CC43AE" w:rsidRPr="00881DD1">
        <w:t xml:space="preserve"> ignored by successive reform programs. </w:t>
      </w:r>
      <w:r w:rsidR="00CC43AE">
        <w:t>In order for the Governm</w:t>
      </w:r>
      <w:r w:rsidR="0092119A">
        <w:t>ent to manage the country’s</w:t>
      </w:r>
      <w:r w:rsidR="00CC43AE">
        <w:t xml:space="preserve"> finances sustainably, </w:t>
      </w:r>
      <w:r w:rsidR="004F3795">
        <w:t xml:space="preserve">we must address </w:t>
      </w:r>
      <w:r w:rsidR="00CC43AE">
        <w:t>th</w:t>
      </w:r>
      <w:r w:rsidR="004F3795">
        <w:t>is situation</w:t>
      </w:r>
      <w:r w:rsidR="00CC43AE">
        <w:t>.</w:t>
      </w:r>
    </w:p>
    <w:p w14:paraId="7F3611C1" w14:textId="691FE531" w:rsidR="00CC43AE" w:rsidRDefault="00E9748A" w:rsidP="00EC65C8">
      <w:pPr>
        <w:pStyle w:val="Numberedpara"/>
      </w:pPr>
      <w:r>
        <w:rPr>
          <w:b/>
        </w:rPr>
        <w:t xml:space="preserve"> </w:t>
      </w:r>
      <w:r w:rsidR="00CC43AE" w:rsidRPr="00B40BC8">
        <w:rPr>
          <w:b/>
        </w:rPr>
        <w:t>In purely practical terms, if the Government want</w:t>
      </w:r>
      <w:r w:rsidR="004F3795">
        <w:rPr>
          <w:b/>
        </w:rPr>
        <w:t>s donors to provide</w:t>
      </w:r>
      <w:r w:rsidR="00CC43AE" w:rsidRPr="00B40BC8">
        <w:rPr>
          <w:b/>
        </w:rPr>
        <w:t xml:space="preserve"> flexible support, we must show the donors that we can manage the</w:t>
      </w:r>
      <w:r w:rsidR="0092119A" w:rsidRPr="00B40BC8">
        <w:rPr>
          <w:b/>
        </w:rPr>
        <w:t>ir money without increasing fiduciary risks</w:t>
      </w:r>
      <w:r w:rsidR="00CC43AE" w:rsidRPr="00B40BC8">
        <w:rPr>
          <w:b/>
        </w:rPr>
        <w:t>.</w:t>
      </w:r>
      <w:r w:rsidR="00CC43AE">
        <w:t xml:space="preserve"> As a benc</w:t>
      </w:r>
      <w:r w:rsidR="00E16597">
        <w:t>hmark</w:t>
      </w:r>
      <w:r w:rsidR="004F3795">
        <w:t>,</w:t>
      </w:r>
      <w:r w:rsidR="00E16597">
        <w:t xml:space="preserve"> the Government can</w:t>
      </w:r>
      <w:r w:rsidR="00CC43AE">
        <w:t>not expect donors to provide sector budget support or performance incentives if the fid</w:t>
      </w:r>
      <w:r w:rsidR="00B40BC8">
        <w:t>uciary risks are higher than</w:t>
      </w:r>
      <w:r w:rsidR="00CC43AE">
        <w:t xml:space="preserve"> putting </w:t>
      </w:r>
      <w:r w:rsidR="00E16597">
        <w:t>t</w:t>
      </w:r>
      <w:r w:rsidR="00CC43AE">
        <w:t xml:space="preserve">heir money into a World Bank Administered trust fund. </w:t>
      </w:r>
    </w:p>
    <w:p w14:paraId="46981B0A" w14:textId="68D31619" w:rsidR="00CC43AE" w:rsidRDefault="00B40BC8" w:rsidP="00EC65C8">
      <w:pPr>
        <w:pStyle w:val="Numberedpara"/>
      </w:pPr>
      <w:r>
        <w:t xml:space="preserve"> </w:t>
      </w:r>
      <w:r w:rsidR="00CC43AE" w:rsidRPr="00B40BC8">
        <w:rPr>
          <w:b/>
        </w:rPr>
        <w:t>Similarly, the Government must be accountable to its own people for managing an incr</w:t>
      </w:r>
      <w:r w:rsidR="004F3795">
        <w:rPr>
          <w:b/>
        </w:rPr>
        <w:t>eased share of domestic revenue</w:t>
      </w:r>
      <w:r w:rsidR="00CC43AE">
        <w:t xml:space="preserve"> genera</w:t>
      </w:r>
      <w:r w:rsidR="00E16597">
        <w:t xml:space="preserve">ted for </w:t>
      </w:r>
      <w:r w:rsidR="0092119A">
        <w:t xml:space="preserve">the </w:t>
      </w:r>
      <w:r w:rsidR="00E16597">
        <w:lastRenderedPageBreak/>
        <w:t xml:space="preserve">budget by improving its </w:t>
      </w:r>
      <w:r>
        <w:t>budget planning</w:t>
      </w:r>
      <w:r w:rsidR="00CC43AE">
        <w:t xml:space="preserve"> and reporting on </w:t>
      </w:r>
      <w:r w:rsidR="004F3795">
        <w:t>how it invests</w:t>
      </w:r>
      <w:r w:rsidR="00CC43AE">
        <w:t xml:space="preserve"> </w:t>
      </w:r>
      <w:r w:rsidR="00256607">
        <w:t>taxpayers’</w:t>
      </w:r>
      <w:r w:rsidR="00CC43AE">
        <w:t xml:space="preserve"> money.</w:t>
      </w:r>
    </w:p>
    <w:p w14:paraId="5EE9C40A" w14:textId="47036F6B" w:rsidR="00CA701A" w:rsidRPr="00E9748A" w:rsidRDefault="00E9748A" w:rsidP="00E9748A">
      <w:pPr>
        <w:pStyle w:val="Numberedpara"/>
      </w:pPr>
      <w:r>
        <w:t xml:space="preserve"> </w:t>
      </w:r>
      <w:r w:rsidR="00854600" w:rsidRPr="00E9748A">
        <w:rPr>
          <w:b/>
        </w:rPr>
        <w:t>Administrative</w:t>
      </w:r>
      <w:r w:rsidR="00E16597" w:rsidRPr="00E9748A">
        <w:rPr>
          <w:b/>
        </w:rPr>
        <w:t xml:space="preserve"> units – or teams - are the machinery of Government institutions</w:t>
      </w:r>
      <w:r w:rsidR="00854600" w:rsidRPr="00E9748A">
        <w:rPr>
          <w:b/>
        </w:rPr>
        <w:t xml:space="preserve"> that are responsible for delivering results.</w:t>
      </w:r>
      <w:r w:rsidR="00854600" w:rsidRPr="00E9748A">
        <w:t xml:space="preserve"> </w:t>
      </w:r>
      <w:r w:rsidR="00E16597" w:rsidRPr="00E9748A">
        <w:t>Without a stronger corporate backbone and consistent business planning at the team level, this ambitious reform agenda for the budget cannot succeed, and Afghanistan cannot break the cycle of dependency on external assistance.</w:t>
      </w:r>
      <w:r w:rsidR="007C5CD3" w:rsidRPr="00E9748A">
        <w:t xml:space="preserve"> </w:t>
      </w:r>
    </w:p>
    <w:p w14:paraId="6116FD67" w14:textId="1FF189AA" w:rsidR="009D438F" w:rsidRPr="00FE5C2E" w:rsidRDefault="009D438F" w:rsidP="009D438F">
      <w:pPr>
        <w:pStyle w:val="Heading3"/>
        <w:rPr>
          <w:lang w:val="en-GB"/>
        </w:rPr>
      </w:pPr>
      <w:bookmarkStart w:id="17" w:name="_Toc457162621"/>
      <w:r>
        <w:rPr>
          <w:color w:val="4E9747" w:themeColor="accent4" w:themeShade="BF"/>
          <w:lang w:val="en-GB"/>
        </w:rPr>
        <w:t>Teams within Teams</w:t>
      </w:r>
      <w:r>
        <w:rPr>
          <w:lang w:val="en-GB"/>
        </w:rPr>
        <w:t xml:space="preserve"> – Participating Agencies</w:t>
      </w:r>
      <w:bookmarkEnd w:id="17"/>
    </w:p>
    <w:p w14:paraId="2A532A21" w14:textId="35F56EB9" w:rsidR="00480CC8" w:rsidRDefault="00E9748A" w:rsidP="00EC65C8">
      <w:pPr>
        <w:pStyle w:val="Numberedpara"/>
      </w:pPr>
      <w:r>
        <w:rPr>
          <w:b/>
        </w:rPr>
        <w:t xml:space="preserve"> </w:t>
      </w:r>
      <w:r w:rsidR="00AA40A4" w:rsidRPr="00D94E3B">
        <w:rPr>
          <w:b/>
        </w:rPr>
        <w:t xml:space="preserve">This 5-year plan starts </w:t>
      </w:r>
      <w:r w:rsidR="00D94E3B" w:rsidRPr="00D94E3B">
        <w:rPr>
          <w:b/>
        </w:rPr>
        <w:t xml:space="preserve">all agencies within the Ministry of Finance and </w:t>
      </w:r>
      <w:r w:rsidR="00256607" w:rsidRPr="00D94E3B">
        <w:rPr>
          <w:b/>
        </w:rPr>
        <w:t>two</w:t>
      </w:r>
      <w:r w:rsidR="00D94E3B" w:rsidRPr="00D94E3B">
        <w:rPr>
          <w:b/>
        </w:rPr>
        <w:t xml:space="preserve"> external entities</w:t>
      </w:r>
      <w:r w:rsidR="00D94E3B">
        <w:t xml:space="preserve"> (AEITI and the NPA). There are currently</w:t>
      </w:r>
      <w:r w:rsidR="00AA40A4">
        <w:t xml:space="preserve"> 19 Directorate Generals </w:t>
      </w:r>
      <w:r w:rsidR="00D94E3B">
        <w:t>involved including</w:t>
      </w:r>
      <w:r w:rsidR="00AA40A4">
        <w:t xml:space="preserve"> 63 Directorates</w:t>
      </w:r>
      <w:r w:rsidR="00D94E3B">
        <w:t xml:space="preserve"> (see </w:t>
      </w:r>
      <w:r w:rsidR="00D94E3B">
        <w:fldChar w:fldCharType="begin"/>
      </w:r>
      <w:r w:rsidR="00D94E3B">
        <w:instrText xml:space="preserve"> REF _Ref443240362 \r \h </w:instrText>
      </w:r>
      <w:r w:rsidR="00D94E3B">
        <w:fldChar w:fldCharType="separate"/>
      </w:r>
      <w:r w:rsidR="00004C5E">
        <w:t>Table 1</w:t>
      </w:r>
      <w:r w:rsidR="00D94E3B">
        <w:fldChar w:fldCharType="end"/>
      </w:r>
      <w:r w:rsidR="00D94E3B">
        <w:t>)</w:t>
      </w:r>
      <w:r w:rsidR="00AA40A4">
        <w:t xml:space="preserve">. </w:t>
      </w:r>
    </w:p>
    <w:p w14:paraId="7B195C45" w14:textId="77777777" w:rsidR="00DE147D" w:rsidRDefault="00DE147D" w:rsidP="00DE147D"/>
    <w:p w14:paraId="0CACED44" w14:textId="7393F383" w:rsidR="009D438F" w:rsidRDefault="00EC23C1" w:rsidP="00DE147D">
      <w:pPr>
        <w:pStyle w:val="TableHeader1"/>
      </w:pPr>
      <w:bookmarkStart w:id="18" w:name="_Ref443240362"/>
      <w:bookmarkStart w:id="19" w:name="_Toc457162633"/>
      <w:r>
        <w:t xml:space="preserve">Current </w:t>
      </w:r>
      <w:r w:rsidR="00D94E3B">
        <w:t>Participating Agencies</w:t>
      </w:r>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5"/>
        <w:gridCol w:w="4505"/>
      </w:tblGrid>
      <w:tr w:rsidR="003F007A" w:rsidRPr="00AA40A4" w14:paraId="006C3DC4" w14:textId="77777777" w:rsidTr="003F007A">
        <w:trPr>
          <w:trHeight w:val="248"/>
        </w:trPr>
        <w:tc>
          <w:tcPr>
            <w:tcW w:w="2500" w:type="pct"/>
            <w:shd w:val="clear" w:color="auto" w:fill="75BB6E" w:themeFill="accent4"/>
            <w:noWrap/>
            <w:hideMark/>
          </w:tcPr>
          <w:p w14:paraId="4B6EB1A3" w14:textId="77777777"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 xml:space="preserve">1.0 Office of the Minister </w:t>
            </w:r>
          </w:p>
        </w:tc>
        <w:tc>
          <w:tcPr>
            <w:tcW w:w="2500" w:type="pct"/>
            <w:shd w:val="clear" w:color="auto" w:fill="75BB6E" w:themeFill="accent4"/>
            <w:noWrap/>
            <w:hideMark/>
          </w:tcPr>
          <w:p w14:paraId="70A18B5C" w14:textId="1C1C6A67"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8.0 Property Department</w:t>
            </w:r>
          </w:p>
        </w:tc>
      </w:tr>
      <w:tr w:rsidR="003F007A" w:rsidRPr="00AA40A4" w14:paraId="4B3B1892" w14:textId="77777777" w:rsidTr="003F007A">
        <w:trPr>
          <w:trHeight w:val="248"/>
        </w:trPr>
        <w:tc>
          <w:tcPr>
            <w:tcW w:w="2500" w:type="pct"/>
            <w:shd w:val="clear" w:color="auto" w:fill="auto"/>
            <w:noWrap/>
            <w:hideMark/>
          </w:tcPr>
          <w:p w14:paraId="538A26B3" w14:textId="52201C99" w:rsidR="003F007A" w:rsidRPr="00DE147D" w:rsidRDefault="00BA35C1"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1.1 OoM: Comm</w:t>
            </w:r>
            <w:r w:rsidR="003F007A" w:rsidRPr="00DE147D">
              <w:rPr>
                <w:rFonts w:ascii="Calibri" w:eastAsia="Times New Roman" w:hAnsi="Calibri"/>
                <w:color w:val="000000"/>
                <w:sz w:val="20"/>
                <w:szCs w:val="22"/>
                <w:lang w:val="en-GB" w:eastAsia="en-GB"/>
              </w:rPr>
              <w:t>s and Public Relations Directorate</w:t>
            </w:r>
          </w:p>
        </w:tc>
        <w:tc>
          <w:tcPr>
            <w:tcW w:w="2500" w:type="pct"/>
            <w:shd w:val="clear" w:color="auto" w:fill="auto"/>
            <w:noWrap/>
            <w:hideMark/>
          </w:tcPr>
          <w:p w14:paraId="75FB7818" w14:textId="44F06C42"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8.1 PD: Provincial Property Directorate</w:t>
            </w:r>
          </w:p>
        </w:tc>
      </w:tr>
      <w:tr w:rsidR="003F007A" w:rsidRPr="00AA40A4" w14:paraId="1BBC9218" w14:textId="77777777" w:rsidTr="003F007A">
        <w:trPr>
          <w:trHeight w:val="248"/>
        </w:trPr>
        <w:tc>
          <w:tcPr>
            <w:tcW w:w="2500" w:type="pct"/>
            <w:shd w:val="clear" w:color="auto" w:fill="auto"/>
            <w:noWrap/>
            <w:hideMark/>
          </w:tcPr>
          <w:p w14:paraId="352A6997"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1.2 OoM: Correspondence Office</w:t>
            </w:r>
          </w:p>
        </w:tc>
        <w:tc>
          <w:tcPr>
            <w:tcW w:w="2500" w:type="pct"/>
            <w:shd w:val="clear" w:color="auto" w:fill="auto"/>
            <w:noWrap/>
            <w:hideMark/>
          </w:tcPr>
          <w:p w14:paraId="37218373" w14:textId="08060CB4"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8.2 PD: Registration and Resolution Directorate</w:t>
            </w:r>
          </w:p>
        </w:tc>
      </w:tr>
      <w:tr w:rsidR="003F007A" w:rsidRPr="00AA40A4" w14:paraId="666B22E8" w14:textId="77777777" w:rsidTr="003F007A">
        <w:trPr>
          <w:trHeight w:val="248"/>
        </w:trPr>
        <w:tc>
          <w:tcPr>
            <w:tcW w:w="2500" w:type="pct"/>
            <w:shd w:val="clear" w:color="auto" w:fill="auto"/>
            <w:noWrap/>
            <w:hideMark/>
          </w:tcPr>
          <w:p w14:paraId="2C3D68DA"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1.3 OoM: Legal Advisors</w:t>
            </w:r>
          </w:p>
        </w:tc>
        <w:tc>
          <w:tcPr>
            <w:tcW w:w="2500" w:type="pct"/>
            <w:shd w:val="clear" w:color="auto" w:fill="auto"/>
            <w:noWrap/>
            <w:hideMark/>
          </w:tcPr>
          <w:p w14:paraId="4AEC4DA2" w14:textId="1456375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8.3 PD: Capital Properties (Kabul) Directorate</w:t>
            </w:r>
          </w:p>
        </w:tc>
      </w:tr>
      <w:tr w:rsidR="003F007A" w:rsidRPr="00AA40A4" w14:paraId="10E48D00" w14:textId="77777777" w:rsidTr="003F007A">
        <w:trPr>
          <w:trHeight w:val="248"/>
        </w:trPr>
        <w:tc>
          <w:tcPr>
            <w:tcW w:w="2500" w:type="pct"/>
            <w:shd w:val="clear" w:color="auto" w:fill="auto"/>
            <w:noWrap/>
            <w:hideMark/>
          </w:tcPr>
          <w:p w14:paraId="3726FD11"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1.4 OoM: Archive Office</w:t>
            </w:r>
          </w:p>
        </w:tc>
        <w:tc>
          <w:tcPr>
            <w:tcW w:w="2500" w:type="pct"/>
            <w:shd w:val="clear" w:color="auto" w:fill="75BB6E" w:themeFill="accent4"/>
            <w:noWrap/>
            <w:hideMark/>
          </w:tcPr>
          <w:p w14:paraId="6DC74665" w14:textId="6DD7C2E2"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9.0 Human Resources Department</w:t>
            </w:r>
          </w:p>
        </w:tc>
      </w:tr>
      <w:tr w:rsidR="003F007A" w:rsidRPr="00AA40A4" w14:paraId="275C176C" w14:textId="77777777" w:rsidTr="003F007A">
        <w:trPr>
          <w:trHeight w:val="248"/>
        </w:trPr>
        <w:tc>
          <w:tcPr>
            <w:tcW w:w="2500" w:type="pct"/>
            <w:shd w:val="clear" w:color="auto" w:fill="auto"/>
            <w:noWrap/>
            <w:hideMark/>
          </w:tcPr>
          <w:p w14:paraId="2B01F9AA"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1.5 OoM: Translation Board</w:t>
            </w:r>
          </w:p>
        </w:tc>
        <w:tc>
          <w:tcPr>
            <w:tcW w:w="2500" w:type="pct"/>
            <w:shd w:val="clear" w:color="auto" w:fill="auto"/>
            <w:noWrap/>
            <w:hideMark/>
          </w:tcPr>
          <w:p w14:paraId="05D3BF3C" w14:textId="34D74F8D"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9.1 HRD: Training &amp; Development</w:t>
            </w:r>
          </w:p>
        </w:tc>
      </w:tr>
      <w:tr w:rsidR="003F007A" w:rsidRPr="00AA40A4" w14:paraId="1307797D" w14:textId="77777777" w:rsidTr="003F007A">
        <w:trPr>
          <w:trHeight w:val="248"/>
        </w:trPr>
        <w:tc>
          <w:tcPr>
            <w:tcW w:w="2500" w:type="pct"/>
            <w:shd w:val="clear" w:color="auto" w:fill="auto"/>
            <w:noWrap/>
            <w:hideMark/>
          </w:tcPr>
          <w:p w14:paraId="12FB4DAC"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1.6 OoM: Protocol Office</w:t>
            </w:r>
          </w:p>
        </w:tc>
        <w:tc>
          <w:tcPr>
            <w:tcW w:w="2500" w:type="pct"/>
            <w:shd w:val="clear" w:color="auto" w:fill="auto"/>
            <w:noWrap/>
            <w:hideMark/>
          </w:tcPr>
          <w:p w14:paraId="4DDF853E" w14:textId="650C4D5A"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9.2 HRD: Recruitment Development</w:t>
            </w:r>
          </w:p>
        </w:tc>
      </w:tr>
      <w:tr w:rsidR="003F007A" w:rsidRPr="00AA40A4" w14:paraId="560F6991" w14:textId="77777777" w:rsidTr="003F007A">
        <w:trPr>
          <w:trHeight w:val="248"/>
        </w:trPr>
        <w:tc>
          <w:tcPr>
            <w:tcW w:w="2500" w:type="pct"/>
            <w:shd w:val="clear" w:color="auto" w:fill="auto"/>
            <w:noWrap/>
            <w:hideMark/>
          </w:tcPr>
          <w:p w14:paraId="20CC5B59"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1.7 OoM: Non-Allocated Advisor Pool</w:t>
            </w:r>
          </w:p>
        </w:tc>
        <w:tc>
          <w:tcPr>
            <w:tcW w:w="2500" w:type="pct"/>
            <w:shd w:val="clear" w:color="auto" w:fill="auto"/>
            <w:noWrap/>
            <w:hideMark/>
          </w:tcPr>
          <w:p w14:paraId="5AD91BE1" w14:textId="4008721E"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9.3 HRD: Organizational Development</w:t>
            </w:r>
          </w:p>
        </w:tc>
      </w:tr>
      <w:tr w:rsidR="003F007A" w:rsidRPr="00AA40A4" w14:paraId="1DAF56D3" w14:textId="77777777" w:rsidTr="003F007A">
        <w:trPr>
          <w:trHeight w:val="248"/>
        </w:trPr>
        <w:tc>
          <w:tcPr>
            <w:tcW w:w="2500" w:type="pct"/>
            <w:shd w:val="clear" w:color="auto" w:fill="auto"/>
            <w:noWrap/>
            <w:hideMark/>
          </w:tcPr>
          <w:p w14:paraId="2851CFEC"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1.8 OoM: Office of the Chief of Staff</w:t>
            </w:r>
          </w:p>
        </w:tc>
        <w:tc>
          <w:tcPr>
            <w:tcW w:w="2500" w:type="pct"/>
            <w:shd w:val="clear" w:color="auto" w:fill="auto"/>
            <w:noWrap/>
            <w:hideMark/>
          </w:tcPr>
          <w:p w14:paraId="65A247F4" w14:textId="11AE1CBA"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9.4 HRD: Performance Appraisal &amp; Record Keeping</w:t>
            </w:r>
          </w:p>
        </w:tc>
      </w:tr>
      <w:tr w:rsidR="003F007A" w:rsidRPr="00AA40A4" w14:paraId="6069C93B" w14:textId="77777777" w:rsidTr="003F007A">
        <w:trPr>
          <w:trHeight w:val="248"/>
        </w:trPr>
        <w:tc>
          <w:tcPr>
            <w:tcW w:w="2500" w:type="pct"/>
            <w:shd w:val="clear" w:color="auto" w:fill="75BB6E" w:themeFill="accent4"/>
            <w:noWrap/>
            <w:hideMark/>
          </w:tcPr>
          <w:p w14:paraId="6AA2A7CE" w14:textId="77777777"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2.0 Customs Department</w:t>
            </w:r>
          </w:p>
        </w:tc>
        <w:tc>
          <w:tcPr>
            <w:tcW w:w="2500" w:type="pct"/>
            <w:shd w:val="clear" w:color="auto" w:fill="auto"/>
            <w:noWrap/>
            <w:hideMark/>
          </w:tcPr>
          <w:p w14:paraId="7D0C6ACA" w14:textId="505411A4"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9.5 HRD: Employee Relations</w:t>
            </w:r>
          </w:p>
        </w:tc>
      </w:tr>
      <w:tr w:rsidR="003F007A" w:rsidRPr="00AA40A4" w14:paraId="1BA29FE2" w14:textId="77777777" w:rsidTr="003F007A">
        <w:trPr>
          <w:trHeight w:val="248"/>
        </w:trPr>
        <w:tc>
          <w:tcPr>
            <w:tcW w:w="2500" w:type="pct"/>
            <w:shd w:val="clear" w:color="auto" w:fill="auto"/>
            <w:noWrap/>
            <w:hideMark/>
          </w:tcPr>
          <w:p w14:paraId="5559D465"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2.1 CD: Customs Support and Development</w:t>
            </w:r>
          </w:p>
        </w:tc>
        <w:tc>
          <w:tcPr>
            <w:tcW w:w="2500" w:type="pct"/>
            <w:shd w:val="clear" w:color="auto" w:fill="75BB6E" w:themeFill="accent4"/>
            <w:noWrap/>
            <w:hideMark/>
          </w:tcPr>
          <w:p w14:paraId="7235F91C" w14:textId="589F9EF6"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10.0 Insurance Department</w:t>
            </w:r>
          </w:p>
        </w:tc>
      </w:tr>
      <w:tr w:rsidR="003F007A" w:rsidRPr="00AA40A4" w14:paraId="0BB49618" w14:textId="77777777" w:rsidTr="003F007A">
        <w:trPr>
          <w:trHeight w:val="248"/>
        </w:trPr>
        <w:tc>
          <w:tcPr>
            <w:tcW w:w="2500" w:type="pct"/>
            <w:shd w:val="clear" w:color="auto" w:fill="auto"/>
            <w:noWrap/>
            <w:hideMark/>
          </w:tcPr>
          <w:p w14:paraId="48DC6C8E"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2.2 CD: Law Enforcement</w:t>
            </w:r>
          </w:p>
        </w:tc>
        <w:tc>
          <w:tcPr>
            <w:tcW w:w="2500" w:type="pct"/>
            <w:shd w:val="clear" w:color="auto" w:fill="auto"/>
            <w:noWrap/>
            <w:hideMark/>
          </w:tcPr>
          <w:p w14:paraId="4B3D5A0E" w14:textId="305ABCFB"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10.1 ID: Insurance Affairs</w:t>
            </w:r>
          </w:p>
        </w:tc>
      </w:tr>
      <w:tr w:rsidR="003F007A" w:rsidRPr="00AA40A4" w14:paraId="2FDE9415" w14:textId="77777777" w:rsidTr="003F007A">
        <w:trPr>
          <w:trHeight w:val="248"/>
        </w:trPr>
        <w:tc>
          <w:tcPr>
            <w:tcW w:w="2500" w:type="pct"/>
            <w:shd w:val="clear" w:color="auto" w:fill="auto"/>
            <w:noWrap/>
            <w:hideMark/>
          </w:tcPr>
          <w:p w14:paraId="29EEC361"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2.3 CD: Customs Technical Affairs</w:t>
            </w:r>
          </w:p>
        </w:tc>
        <w:tc>
          <w:tcPr>
            <w:tcW w:w="2500" w:type="pct"/>
            <w:shd w:val="clear" w:color="auto" w:fill="75BB6E" w:themeFill="accent4"/>
            <w:noWrap/>
            <w:hideMark/>
          </w:tcPr>
          <w:p w14:paraId="47CA1D9B" w14:textId="3210CF1D"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11.0 Internal Audit Department</w:t>
            </w:r>
          </w:p>
        </w:tc>
      </w:tr>
      <w:tr w:rsidR="003F007A" w:rsidRPr="00AA40A4" w14:paraId="6F8C14CE" w14:textId="77777777" w:rsidTr="003F007A">
        <w:trPr>
          <w:trHeight w:val="248"/>
        </w:trPr>
        <w:tc>
          <w:tcPr>
            <w:tcW w:w="2500" w:type="pct"/>
            <w:shd w:val="clear" w:color="auto" w:fill="auto"/>
            <w:noWrap/>
            <w:hideMark/>
          </w:tcPr>
          <w:p w14:paraId="08E3BC21"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2.4 CD: Operations</w:t>
            </w:r>
          </w:p>
        </w:tc>
        <w:tc>
          <w:tcPr>
            <w:tcW w:w="2500" w:type="pct"/>
            <w:shd w:val="clear" w:color="auto" w:fill="auto"/>
            <w:noWrap/>
            <w:hideMark/>
          </w:tcPr>
          <w:p w14:paraId="23B4F0F1" w14:textId="22371A50"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11.1 IAD: Office of the DG</w:t>
            </w:r>
          </w:p>
        </w:tc>
      </w:tr>
      <w:tr w:rsidR="003F007A" w:rsidRPr="00AA40A4" w14:paraId="78342E15" w14:textId="77777777" w:rsidTr="003F007A">
        <w:trPr>
          <w:trHeight w:val="248"/>
        </w:trPr>
        <w:tc>
          <w:tcPr>
            <w:tcW w:w="2500" w:type="pct"/>
            <w:shd w:val="clear" w:color="auto" w:fill="auto"/>
            <w:noWrap/>
            <w:hideMark/>
          </w:tcPr>
          <w:p w14:paraId="6C071912"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2.5 CD: Internal Audit Unit</w:t>
            </w:r>
          </w:p>
        </w:tc>
        <w:tc>
          <w:tcPr>
            <w:tcW w:w="2500" w:type="pct"/>
            <w:shd w:val="clear" w:color="auto" w:fill="auto"/>
            <w:noWrap/>
            <w:hideMark/>
          </w:tcPr>
          <w:p w14:paraId="6759B9A7" w14:textId="7BDF6E91" w:rsidR="003F007A" w:rsidRPr="00DE147D" w:rsidRDefault="00BA35C1" w:rsidP="006B07D1">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11.2 IAD: Compliance</w:t>
            </w:r>
            <w:r w:rsidR="003F007A" w:rsidRPr="00DE147D">
              <w:rPr>
                <w:rFonts w:ascii="Calibri" w:eastAsia="Times New Roman" w:hAnsi="Calibri"/>
                <w:color w:val="000000"/>
                <w:sz w:val="20"/>
                <w:szCs w:val="22"/>
                <w:lang w:val="en-GB" w:eastAsia="en-GB"/>
              </w:rPr>
              <w:t xml:space="preserve"> IT Audit </w:t>
            </w:r>
            <w:r w:rsidR="006B07D1" w:rsidRPr="00DE147D">
              <w:rPr>
                <w:rFonts w:ascii="Calibri" w:eastAsia="Times New Roman" w:hAnsi="Calibri"/>
                <w:color w:val="000000"/>
                <w:sz w:val="20"/>
                <w:szCs w:val="22"/>
                <w:lang w:val="en-GB" w:eastAsia="en-GB"/>
              </w:rPr>
              <w:t>&amp;</w:t>
            </w:r>
            <w:r w:rsidR="003F007A" w:rsidRPr="00DE147D">
              <w:rPr>
                <w:rFonts w:ascii="Calibri" w:eastAsia="Times New Roman" w:hAnsi="Calibri"/>
                <w:color w:val="000000"/>
                <w:sz w:val="20"/>
                <w:szCs w:val="22"/>
                <w:lang w:val="en-GB" w:eastAsia="en-GB"/>
              </w:rPr>
              <w:t xml:space="preserve"> Fraud Investigation</w:t>
            </w:r>
          </w:p>
        </w:tc>
      </w:tr>
      <w:tr w:rsidR="003F007A" w:rsidRPr="00AA40A4" w14:paraId="6BF1B963" w14:textId="77777777" w:rsidTr="003F007A">
        <w:trPr>
          <w:trHeight w:val="248"/>
        </w:trPr>
        <w:tc>
          <w:tcPr>
            <w:tcW w:w="2500" w:type="pct"/>
            <w:shd w:val="clear" w:color="auto" w:fill="75BB6E" w:themeFill="accent4"/>
            <w:noWrap/>
            <w:hideMark/>
          </w:tcPr>
          <w:p w14:paraId="04D8C37C" w14:textId="77777777"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 xml:space="preserve">3.0 Revenues Department </w:t>
            </w:r>
          </w:p>
        </w:tc>
        <w:tc>
          <w:tcPr>
            <w:tcW w:w="2500" w:type="pct"/>
            <w:shd w:val="clear" w:color="auto" w:fill="auto"/>
            <w:noWrap/>
            <w:hideMark/>
          </w:tcPr>
          <w:p w14:paraId="0AD0163C" w14:textId="5E5FAD0D"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 xml:space="preserve">11.3 IAD: Budget and Treasury Audit </w:t>
            </w:r>
          </w:p>
        </w:tc>
      </w:tr>
      <w:tr w:rsidR="003F007A" w:rsidRPr="00AA40A4" w14:paraId="3EC78336" w14:textId="77777777" w:rsidTr="003F007A">
        <w:trPr>
          <w:trHeight w:val="248"/>
        </w:trPr>
        <w:tc>
          <w:tcPr>
            <w:tcW w:w="2500" w:type="pct"/>
            <w:shd w:val="clear" w:color="auto" w:fill="auto"/>
            <w:noWrap/>
            <w:hideMark/>
          </w:tcPr>
          <w:p w14:paraId="3361F0A5"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3.1 RD: Office of the DG (Revenue)</w:t>
            </w:r>
          </w:p>
        </w:tc>
        <w:tc>
          <w:tcPr>
            <w:tcW w:w="2500" w:type="pct"/>
            <w:shd w:val="clear" w:color="auto" w:fill="auto"/>
            <w:noWrap/>
            <w:hideMark/>
          </w:tcPr>
          <w:p w14:paraId="4F59B026" w14:textId="72294565"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11.4 IAD: Customs and Revenue Audit</w:t>
            </w:r>
          </w:p>
        </w:tc>
      </w:tr>
      <w:tr w:rsidR="003F007A" w:rsidRPr="00AA40A4" w14:paraId="5AC6324D" w14:textId="77777777" w:rsidTr="003F007A">
        <w:trPr>
          <w:trHeight w:val="248"/>
        </w:trPr>
        <w:tc>
          <w:tcPr>
            <w:tcW w:w="2500" w:type="pct"/>
            <w:shd w:val="clear" w:color="auto" w:fill="auto"/>
            <w:noWrap/>
            <w:hideMark/>
          </w:tcPr>
          <w:p w14:paraId="07018D8E"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3.2 RD: Large Taxpayers Office</w:t>
            </w:r>
          </w:p>
        </w:tc>
        <w:tc>
          <w:tcPr>
            <w:tcW w:w="2500" w:type="pct"/>
            <w:shd w:val="clear" w:color="auto" w:fill="auto"/>
            <w:noWrap/>
            <w:hideMark/>
          </w:tcPr>
          <w:p w14:paraId="61A03961" w14:textId="33399311"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11.5 IAD: Budgetary Audit and Capacity Development</w:t>
            </w:r>
          </w:p>
        </w:tc>
      </w:tr>
      <w:tr w:rsidR="003F007A" w:rsidRPr="00AA40A4" w14:paraId="29ACFAF6" w14:textId="77777777" w:rsidTr="003F007A">
        <w:trPr>
          <w:trHeight w:val="248"/>
        </w:trPr>
        <w:tc>
          <w:tcPr>
            <w:tcW w:w="2500" w:type="pct"/>
            <w:shd w:val="clear" w:color="auto" w:fill="auto"/>
            <w:noWrap/>
            <w:hideMark/>
          </w:tcPr>
          <w:p w14:paraId="00849BAD"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3.3 RD: Medium Taxpayers Office</w:t>
            </w:r>
          </w:p>
        </w:tc>
        <w:tc>
          <w:tcPr>
            <w:tcW w:w="2500" w:type="pct"/>
            <w:shd w:val="clear" w:color="auto" w:fill="75BB6E" w:themeFill="accent4"/>
            <w:noWrap/>
            <w:hideMark/>
          </w:tcPr>
          <w:p w14:paraId="7A54FE4E" w14:textId="1BAAF07C"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12.0 Programs Implementation and  Coordination General Directorate</w:t>
            </w:r>
          </w:p>
        </w:tc>
      </w:tr>
      <w:tr w:rsidR="003F007A" w:rsidRPr="00AA40A4" w14:paraId="0BDA0B93" w14:textId="77777777" w:rsidTr="003F007A">
        <w:trPr>
          <w:trHeight w:val="248"/>
        </w:trPr>
        <w:tc>
          <w:tcPr>
            <w:tcW w:w="2500" w:type="pct"/>
            <w:shd w:val="clear" w:color="auto" w:fill="auto"/>
            <w:noWrap/>
            <w:hideMark/>
          </w:tcPr>
          <w:p w14:paraId="6C2481B6"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3.4 RD: Small Taxpayers Office</w:t>
            </w:r>
          </w:p>
        </w:tc>
        <w:tc>
          <w:tcPr>
            <w:tcW w:w="2500" w:type="pct"/>
            <w:shd w:val="clear" w:color="auto" w:fill="auto"/>
            <w:noWrap/>
            <w:hideMark/>
          </w:tcPr>
          <w:p w14:paraId="4F9114DC" w14:textId="1B5FE722"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 xml:space="preserve">12.1 PICGD:  Directorate for Coordination of National Priority Programs </w:t>
            </w:r>
          </w:p>
        </w:tc>
      </w:tr>
      <w:tr w:rsidR="003F007A" w:rsidRPr="00AA40A4" w14:paraId="459E64D5" w14:textId="77777777" w:rsidTr="003F007A">
        <w:trPr>
          <w:trHeight w:val="248"/>
        </w:trPr>
        <w:tc>
          <w:tcPr>
            <w:tcW w:w="2500" w:type="pct"/>
            <w:shd w:val="clear" w:color="auto" w:fill="auto"/>
            <w:noWrap/>
            <w:hideMark/>
          </w:tcPr>
          <w:p w14:paraId="46FABD1A"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3.5 RD: Appeals</w:t>
            </w:r>
          </w:p>
        </w:tc>
        <w:tc>
          <w:tcPr>
            <w:tcW w:w="2500" w:type="pct"/>
            <w:shd w:val="clear" w:color="auto" w:fill="auto"/>
            <w:noWrap/>
            <w:hideMark/>
          </w:tcPr>
          <w:p w14:paraId="1C3558DA" w14:textId="3A4C0CCD"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12.2 PICGD: Directorate for Policy Research</w:t>
            </w:r>
          </w:p>
        </w:tc>
      </w:tr>
      <w:tr w:rsidR="003F007A" w:rsidRPr="00AA40A4" w14:paraId="55168348" w14:textId="77777777" w:rsidTr="003F007A">
        <w:trPr>
          <w:trHeight w:val="248"/>
        </w:trPr>
        <w:tc>
          <w:tcPr>
            <w:tcW w:w="2500" w:type="pct"/>
            <w:shd w:val="clear" w:color="auto" w:fill="auto"/>
            <w:noWrap/>
            <w:hideMark/>
          </w:tcPr>
          <w:p w14:paraId="688F1DB6"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3.6 RD: Legal</w:t>
            </w:r>
          </w:p>
        </w:tc>
        <w:tc>
          <w:tcPr>
            <w:tcW w:w="2500" w:type="pct"/>
            <w:shd w:val="clear" w:color="auto" w:fill="75BB6E" w:themeFill="accent4"/>
            <w:noWrap/>
            <w:hideMark/>
          </w:tcPr>
          <w:p w14:paraId="5573C341" w14:textId="4CEB8A1C"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13.0 Monitoring, Analysis and Reporting General Directorate</w:t>
            </w:r>
          </w:p>
        </w:tc>
      </w:tr>
      <w:tr w:rsidR="003F007A" w:rsidRPr="00AA40A4" w14:paraId="14631C3D" w14:textId="77777777" w:rsidTr="003F007A">
        <w:trPr>
          <w:trHeight w:val="248"/>
        </w:trPr>
        <w:tc>
          <w:tcPr>
            <w:tcW w:w="2500" w:type="pct"/>
            <w:shd w:val="clear" w:color="auto" w:fill="auto"/>
            <w:noWrap/>
            <w:hideMark/>
          </w:tcPr>
          <w:p w14:paraId="5BB745DC"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3.7 RD: Non-Tax Revenue</w:t>
            </w:r>
          </w:p>
        </w:tc>
        <w:tc>
          <w:tcPr>
            <w:tcW w:w="2500" w:type="pct"/>
            <w:shd w:val="clear" w:color="auto" w:fill="auto"/>
            <w:noWrap/>
            <w:hideMark/>
          </w:tcPr>
          <w:p w14:paraId="20FFE78F" w14:textId="3808D890"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13.1 MARGD: Directorate of Program Monitoring</w:t>
            </w:r>
          </w:p>
        </w:tc>
      </w:tr>
      <w:tr w:rsidR="003F007A" w:rsidRPr="00AA40A4" w14:paraId="2F8EBC84" w14:textId="77777777" w:rsidTr="003F007A">
        <w:trPr>
          <w:trHeight w:val="248"/>
        </w:trPr>
        <w:tc>
          <w:tcPr>
            <w:tcW w:w="2500" w:type="pct"/>
            <w:shd w:val="clear" w:color="auto" w:fill="auto"/>
            <w:noWrap/>
            <w:hideMark/>
          </w:tcPr>
          <w:p w14:paraId="393F07FC"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3.8 RD: Technical and Provincial Liaison</w:t>
            </w:r>
          </w:p>
        </w:tc>
        <w:tc>
          <w:tcPr>
            <w:tcW w:w="2500" w:type="pct"/>
            <w:shd w:val="clear" w:color="auto" w:fill="auto"/>
            <w:noWrap/>
            <w:hideMark/>
          </w:tcPr>
          <w:p w14:paraId="42220E63" w14:textId="4240E41C"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13.2 MARGD: Directorate for Analysis and Reporting</w:t>
            </w:r>
          </w:p>
        </w:tc>
      </w:tr>
      <w:tr w:rsidR="003F007A" w:rsidRPr="00AA40A4" w14:paraId="66532F7B" w14:textId="77777777" w:rsidTr="003F007A">
        <w:trPr>
          <w:trHeight w:val="248"/>
        </w:trPr>
        <w:tc>
          <w:tcPr>
            <w:tcW w:w="2500" w:type="pct"/>
            <w:shd w:val="clear" w:color="auto" w:fill="auto"/>
            <w:noWrap/>
            <w:hideMark/>
          </w:tcPr>
          <w:p w14:paraId="11E2D18C"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3.9 RD: Revenue Services and Support</w:t>
            </w:r>
          </w:p>
        </w:tc>
        <w:tc>
          <w:tcPr>
            <w:tcW w:w="2500" w:type="pct"/>
            <w:shd w:val="clear" w:color="auto" w:fill="75BB6E" w:themeFill="accent4"/>
            <w:noWrap/>
            <w:hideMark/>
          </w:tcPr>
          <w:p w14:paraId="458DA72C" w14:textId="609FC6DD"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14.0 Reform Imple</w:t>
            </w:r>
            <w:r w:rsidR="00BA35C1" w:rsidRPr="00DE147D">
              <w:rPr>
                <w:rFonts w:ascii="Calibri" w:eastAsia="Times New Roman" w:hAnsi="Calibri"/>
                <w:b/>
                <w:bCs/>
                <w:color w:val="000000"/>
                <w:sz w:val="20"/>
                <w:szCs w:val="22"/>
                <w:lang w:val="en-GB" w:eastAsia="en-GB"/>
              </w:rPr>
              <w:t>mentation Management Unit</w:t>
            </w:r>
          </w:p>
        </w:tc>
      </w:tr>
      <w:tr w:rsidR="003F007A" w:rsidRPr="00AA40A4" w14:paraId="1F74A636" w14:textId="77777777" w:rsidTr="003F007A">
        <w:trPr>
          <w:trHeight w:val="248"/>
        </w:trPr>
        <w:tc>
          <w:tcPr>
            <w:tcW w:w="2500" w:type="pct"/>
            <w:shd w:val="clear" w:color="auto" w:fill="75BB6E" w:themeFill="accent4"/>
            <w:noWrap/>
            <w:hideMark/>
          </w:tcPr>
          <w:p w14:paraId="20515C20" w14:textId="77777777"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4.0 Treasury Department</w:t>
            </w:r>
          </w:p>
        </w:tc>
        <w:tc>
          <w:tcPr>
            <w:tcW w:w="2500" w:type="pct"/>
            <w:shd w:val="clear" w:color="auto" w:fill="auto"/>
            <w:noWrap/>
            <w:hideMark/>
          </w:tcPr>
          <w:p w14:paraId="6C47F451" w14:textId="5709A2A0"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14.1 RIMU</w:t>
            </w:r>
          </w:p>
        </w:tc>
      </w:tr>
      <w:tr w:rsidR="003F007A" w:rsidRPr="00AA40A4" w14:paraId="74709933" w14:textId="77777777" w:rsidTr="003F007A">
        <w:trPr>
          <w:trHeight w:val="248"/>
        </w:trPr>
        <w:tc>
          <w:tcPr>
            <w:tcW w:w="2500" w:type="pct"/>
            <w:shd w:val="clear" w:color="auto" w:fill="auto"/>
            <w:noWrap/>
            <w:hideMark/>
          </w:tcPr>
          <w:p w14:paraId="591936EA"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 xml:space="preserve">4.1 TD: Treasury Systems Development </w:t>
            </w:r>
          </w:p>
        </w:tc>
        <w:tc>
          <w:tcPr>
            <w:tcW w:w="2500" w:type="pct"/>
            <w:shd w:val="clear" w:color="auto" w:fill="75BB6E" w:themeFill="accent4"/>
            <w:noWrap/>
            <w:hideMark/>
          </w:tcPr>
          <w:p w14:paraId="375C8BEB" w14:textId="44307ECF"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15.0 Revenue Planning Department</w:t>
            </w:r>
          </w:p>
        </w:tc>
      </w:tr>
      <w:tr w:rsidR="006B07D1" w:rsidRPr="00AA40A4" w14:paraId="7D5794BA" w14:textId="77777777" w:rsidTr="00910E0B">
        <w:trPr>
          <w:trHeight w:val="248"/>
        </w:trPr>
        <w:tc>
          <w:tcPr>
            <w:tcW w:w="2500" w:type="pct"/>
            <w:shd w:val="clear" w:color="auto" w:fill="auto"/>
            <w:noWrap/>
            <w:hideMark/>
          </w:tcPr>
          <w:p w14:paraId="1EB229C6" w14:textId="77777777" w:rsidR="006B07D1" w:rsidRPr="00DE147D" w:rsidRDefault="006B07D1" w:rsidP="006B07D1">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 xml:space="preserve">4.2 TD: Accounting </w:t>
            </w:r>
          </w:p>
        </w:tc>
        <w:tc>
          <w:tcPr>
            <w:tcW w:w="2500" w:type="pct"/>
            <w:shd w:val="clear" w:color="auto" w:fill="auto"/>
            <w:noWrap/>
            <w:vAlign w:val="bottom"/>
            <w:hideMark/>
          </w:tcPr>
          <w:p w14:paraId="33F9484E" w14:textId="65A506B4" w:rsidR="006B07D1" w:rsidRPr="00DE147D" w:rsidRDefault="006B07D1" w:rsidP="006B07D1">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 xml:space="preserve">15.1 </w:t>
            </w:r>
            <w:r w:rsidR="0085550B">
              <w:rPr>
                <w:rFonts w:ascii="Calibri" w:eastAsia="Times New Roman" w:hAnsi="Calibri"/>
                <w:color w:val="000000"/>
                <w:sz w:val="20"/>
                <w:szCs w:val="22"/>
                <w:lang w:val="en-GB" w:eastAsia="en-GB"/>
              </w:rPr>
              <w:t xml:space="preserve">RPD: </w:t>
            </w:r>
            <w:r w:rsidRPr="00DE147D">
              <w:rPr>
                <w:rFonts w:ascii="Calibri" w:eastAsia="Times New Roman" w:hAnsi="Calibri"/>
                <w:color w:val="000000"/>
                <w:sz w:val="20"/>
                <w:szCs w:val="22"/>
                <w:lang w:val="en-GB" w:eastAsia="en-GB"/>
              </w:rPr>
              <w:t xml:space="preserve">Revenue Analysis and Forecasting </w:t>
            </w:r>
          </w:p>
        </w:tc>
      </w:tr>
      <w:tr w:rsidR="006B07D1" w:rsidRPr="00AA40A4" w14:paraId="33099EAA" w14:textId="77777777" w:rsidTr="00910E0B">
        <w:trPr>
          <w:trHeight w:val="248"/>
        </w:trPr>
        <w:tc>
          <w:tcPr>
            <w:tcW w:w="2500" w:type="pct"/>
            <w:shd w:val="clear" w:color="auto" w:fill="auto"/>
            <w:noWrap/>
            <w:hideMark/>
          </w:tcPr>
          <w:p w14:paraId="23F18CD9" w14:textId="77777777" w:rsidR="006B07D1" w:rsidRPr="00DE147D" w:rsidRDefault="006B07D1" w:rsidP="006B07D1">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4.3 TD: Payments</w:t>
            </w:r>
          </w:p>
        </w:tc>
        <w:tc>
          <w:tcPr>
            <w:tcW w:w="2500" w:type="pct"/>
            <w:shd w:val="clear" w:color="auto" w:fill="auto"/>
            <w:noWrap/>
            <w:vAlign w:val="bottom"/>
            <w:hideMark/>
          </w:tcPr>
          <w:p w14:paraId="04B51C41" w14:textId="15E13961" w:rsidR="006B07D1" w:rsidRPr="00DE147D" w:rsidRDefault="006B07D1" w:rsidP="006B07D1">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 xml:space="preserve">15.2 </w:t>
            </w:r>
            <w:r w:rsidR="0085550B">
              <w:rPr>
                <w:rFonts w:ascii="Calibri" w:eastAsia="Times New Roman" w:hAnsi="Calibri"/>
                <w:color w:val="000000"/>
                <w:sz w:val="20"/>
                <w:szCs w:val="22"/>
                <w:lang w:val="en-GB" w:eastAsia="en-GB"/>
              </w:rPr>
              <w:t xml:space="preserve">RPD: </w:t>
            </w:r>
            <w:r w:rsidRPr="00DE147D">
              <w:rPr>
                <w:rFonts w:ascii="Calibri" w:eastAsia="Times New Roman" w:hAnsi="Calibri"/>
                <w:color w:val="000000"/>
                <w:sz w:val="20"/>
                <w:szCs w:val="22"/>
                <w:lang w:val="en-GB" w:eastAsia="en-GB"/>
              </w:rPr>
              <w:t>Monitoring and Evaluation of Revenue Targets</w:t>
            </w:r>
          </w:p>
        </w:tc>
      </w:tr>
      <w:tr w:rsidR="003F007A" w:rsidRPr="00AA40A4" w14:paraId="2B4ED94F" w14:textId="77777777" w:rsidTr="003F007A">
        <w:trPr>
          <w:trHeight w:val="248"/>
        </w:trPr>
        <w:tc>
          <w:tcPr>
            <w:tcW w:w="2500" w:type="pct"/>
            <w:shd w:val="clear" w:color="auto" w:fill="75BB6E" w:themeFill="accent4"/>
            <w:noWrap/>
            <w:hideMark/>
          </w:tcPr>
          <w:p w14:paraId="1318AA51" w14:textId="77777777"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 xml:space="preserve">5.0 Budget Department </w:t>
            </w:r>
          </w:p>
        </w:tc>
        <w:tc>
          <w:tcPr>
            <w:tcW w:w="2500" w:type="pct"/>
            <w:shd w:val="clear" w:color="auto" w:fill="75BB6E" w:themeFill="accent4"/>
            <w:noWrap/>
            <w:hideMark/>
          </w:tcPr>
          <w:p w14:paraId="344A8EA3" w14:textId="12263F5F"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16.0 Macro-Fiscal Performance Department</w:t>
            </w:r>
          </w:p>
        </w:tc>
      </w:tr>
      <w:tr w:rsidR="003F007A" w:rsidRPr="00AA40A4" w14:paraId="010CD2BD" w14:textId="77777777" w:rsidTr="003F007A">
        <w:trPr>
          <w:trHeight w:val="248"/>
        </w:trPr>
        <w:tc>
          <w:tcPr>
            <w:tcW w:w="2500" w:type="pct"/>
            <w:shd w:val="clear" w:color="auto" w:fill="auto"/>
            <w:noWrap/>
            <w:hideMark/>
          </w:tcPr>
          <w:p w14:paraId="0AF37A3A"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5.1 BD: Budget Execution</w:t>
            </w:r>
          </w:p>
        </w:tc>
        <w:tc>
          <w:tcPr>
            <w:tcW w:w="2500" w:type="pct"/>
            <w:shd w:val="clear" w:color="auto" w:fill="auto"/>
            <w:noWrap/>
            <w:hideMark/>
          </w:tcPr>
          <w:p w14:paraId="39A4C455" w14:textId="7480DD3B"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16.1 MFPD: Fiscal Directorate</w:t>
            </w:r>
          </w:p>
        </w:tc>
      </w:tr>
      <w:tr w:rsidR="003F007A" w:rsidRPr="00AA40A4" w14:paraId="705A825A" w14:textId="77777777" w:rsidTr="003F007A">
        <w:trPr>
          <w:trHeight w:val="248"/>
        </w:trPr>
        <w:tc>
          <w:tcPr>
            <w:tcW w:w="2500" w:type="pct"/>
            <w:shd w:val="clear" w:color="auto" w:fill="auto"/>
            <w:noWrap/>
            <w:hideMark/>
          </w:tcPr>
          <w:p w14:paraId="63FD58AD"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lastRenderedPageBreak/>
              <w:t>5.2 BD: Budget Policy</w:t>
            </w:r>
          </w:p>
        </w:tc>
        <w:tc>
          <w:tcPr>
            <w:tcW w:w="2500" w:type="pct"/>
            <w:shd w:val="clear" w:color="auto" w:fill="auto"/>
            <w:noWrap/>
            <w:hideMark/>
          </w:tcPr>
          <w:p w14:paraId="093FD1A6" w14:textId="2C4CC1E2"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16.2 MFPD: Macroeconomic Unit</w:t>
            </w:r>
          </w:p>
        </w:tc>
      </w:tr>
      <w:tr w:rsidR="003F007A" w:rsidRPr="00AA40A4" w14:paraId="06AB73A4" w14:textId="77777777" w:rsidTr="003F007A">
        <w:trPr>
          <w:trHeight w:val="248"/>
        </w:trPr>
        <w:tc>
          <w:tcPr>
            <w:tcW w:w="2500" w:type="pct"/>
            <w:shd w:val="clear" w:color="auto" w:fill="75BB6E" w:themeFill="accent4"/>
            <w:noWrap/>
            <w:hideMark/>
          </w:tcPr>
          <w:p w14:paraId="5B47A79C" w14:textId="77777777"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6.0 Admin Department</w:t>
            </w:r>
          </w:p>
        </w:tc>
        <w:tc>
          <w:tcPr>
            <w:tcW w:w="2500" w:type="pct"/>
            <w:shd w:val="clear" w:color="auto" w:fill="auto"/>
            <w:noWrap/>
            <w:hideMark/>
          </w:tcPr>
          <w:p w14:paraId="66F601AF" w14:textId="575409ED"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16.3 MFPD: Admin and Reporting Unit</w:t>
            </w:r>
          </w:p>
        </w:tc>
      </w:tr>
      <w:tr w:rsidR="003F007A" w:rsidRPr="00AA40A4" w14:paraId="1488B664" w14:textId="77777777" w:rsidTr="003F007A">
        <w:trPr>
          <w:trHeight w:val="248"/>
        </w:trPr>
        <w:tc>
          <w:tcPr>
            <w:tcW w:w="2500" w:type="pct"/>
            <w:shd w:val="clear" w:color="auto" w:fill="auto"/>
            <w:noWrap/>
            <w:hideMark/>
          </w:tcPr>
          <w:p w14:paraId="7A7FFE9E"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 xml:space="preserve">6.1 AD: Procurement and General Services </w:t>
            </w:r>
          </w:p>
        </w:tc>
        <w:tc>
          <w:tcPr>
            <w:tcW w:w="2500" w:type="pct"/>
            <w:shd w:val="clear" w:color="auto" w:fill="auto"/>
            <w:noWrap/>
            <w:hideMark/>
          </w:tcPr>
          <w:p w14:paraId="1B57DB67" w14:textId="7EA62689"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16.4 MFPD: Performance Management Team</w:t>
            </w:r>
          </w:p>
        </w:tc>
      </w:tr>
      <w:tr w:rsidR="003F007A" w:rsidRPr="00AA40A4" w14:paraId="2975693E" w14:textId="77777777" w:rsidTr="003F007A">
        <w:trPr>
          <w:trHeight w:val="248"/>
        </w:trPr>
        <w:tc>
          <w:tcPr>
            <w:tcW w:w="2500" w:type="pct"/>
            <w:shd w:val="clear" w:color="auto" w:fill="auto"/>
            <w:noWrap/>
            <w:hideMark/>
          </w:tcPr>
          <w:p w14:paraId="5BC9E81A"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 xml:space="preserve">6.2 AD: Finance and Accounting </w:t>
            </w:r>
          </w:p>
        </w:tc>
        <w:tc>
          <w:tcPr>
            <w:tcW w:w="2500" w:type="pct"/>
            <w:shd w:val="clear" w:color="auto" w:fill="75BB6E" w:themeFill="accent4"/>
            <w:noWrap/>
            <w:hideMark/>
          </w:tcPr>
          <w:p w14:paraId="6BDA1C1D" w14:textId="22A5D3B1" w:rsidR="003F007A" w:rsidRPr="00DE147D" w:rsidRDefault="003F007A" w:rsidP="006B07D1">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17.0 Aid Management Directorate</w:t>
            </w:r>
            <w:r w:rsidR="00EC23C1" w:rsidRPr="00DE147D">
              <w:rPr>
                <w:rFonts w:ascii="Calibri" w:eastAsia="Times New Roman" w:hAnsi="Calibri"/>
                <w:b/>
                <w:bCs/>
                <w:color w:val="000000"/>
                <w:sz w:val="20"/>
                <w:szCs w:val="22"/>
                <w:lang w:val="en-GB" w:eastAsia="en-GB"/>
              </w:rPr>
              <w:t xml:space="preserve"> </w:t>
            </w:r>
            <w:r w:rsidR="006B07D1" w:rsidRPr="00DE147D">
              <w:rPr>
                <w:rFonts w:ascii="Calibri" w:eastAsia="Times New Roman" w:hAnsi="Calibri"/>
                <w:bCs/>
                <w:color w:val="000000"/>
                <w:sz w:val="20"/>
                <w:szCs w:val="22"/>
                <w:lang w:val="en-GB" w:eastAsia="en-GB"/>
              </w:rPr>
              <w:t>(Not DG)</w:t>
            </w:r>
          </w:p>
        </w:tc>
      </w:tr>
      <w:tr w:rsidR="003F007A" w:rsidRPr="00AA40A4" w14:paraId="7E8C80DF" w14:textId="77777777" w:rsidTr="003F007A">
        <w:trPr>
          <w:trHeight w:val="248"/>
        </w:trPr>
        <w:tc>
          <w:tcPr>
            <w:tcW w:w="2500" w:type="pct"/>
            <w:shd w:val="clear" w:color="auto" w:fill="auto"/>
            <w:noWrap/>
            <w:hideMark/>
          </w:tcPr>
          <w:p w14:paraId="185327CC"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6.3 AD: IT</w:t>
            </w:r>
          </w:p>
        </w:tc>
        <w:tc>
          <w:tcPr>
            <w:tcW w:w="2500" w:type="pct"/>
            <w:shd w:val="clear" w:color="auto" w:fill="auto"/>
            <w:noWrap/>
            <w:hideMark/>
          </w:tcPr>
          <w:p w14:paraId="492A8065" w14:textId="423F49B4"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17.1 ADM: Aid Management</w:t>
            </w:r>
          </w:p>
        </w:tc>
      </w:tr>
      <w:tr w:rsidR="003F007A" w:rsidRPr="00AA40A4" w14:paraId="53981617" w14:textId="77777777" w:rsidTr="003F007A">
        <w:trPr>
          <w:trHeight w:val="248"/>
        </w:trPr>
        <w:tc>
          <w:tcPr>
            <w:tcW w:w="2500" w:type="pct"/>
            <w:shd w:val="clear" w:color="auto" w:fill="auto"/>
            <w:noWrap/>
            <w:hideMark/>
          </w:tcPr>
          <w:p w14:paraId="6F38F793"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6.4 AD: MoF Project Implementation Unit</w:t>
            </w:r>
          </w:p>
        </w:tc>
        <w:tc>
          <w:tcPr>
            <w:tcW w:w="2500" w:type="pct"/>
            <w:shd w:val="clear" w:color="auto" w:fill="75BB6E" w:themeFill="accent4"/>
            <w:noWrap/>
            <w:hideMark/>
          </w:tcPr>
          <w:p w14:paraId="777EB94F" w14:textId="14BF8942"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18.0 Office of the President</w:t>
            </w:r>
          </w:p>
        </w:tc>
      </w:tr>
      <w:tr w:rsidR="003F007A" w:rsidRPr="00AA40A4" w14:paraId="13A7F495" w14:textId="77777777" w:rsidTr="003F007A">
        <w:trPr>
          <w:trHeight w:val="248"/>
        </w:trPr>
        <w:tc>
          <w:tcPr>
            <w:tcW w:w="2500" w:type="pct"/>
            <w:shd w:val="clear" w:color="auto" w:fill="auto"/>
            <w:noWrap/>
            <w:hideMark/>
          </w:tcPr>
          <w:p w14:paraId="0C945D14"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6.5 AD: Auctions and Disposals Unit</w:t>
            </w:r>
          </w:p>
        </w:tc>
        <w:tc>
          <w:tcPr>
            <w:tcW w:w="2500" w:type="pct"/>
            <w:shd w:val="clear" w:color="auto" w:fill="auto"/>
            <w:noWrap/>
            <w:hideMark/>
          </w:tcPr>
          <w:p w14:paraId="32C3913F" w14:textId="34DD4FFB" w:rsidR="003F007A" w:rsidRPr="00DE147D" w:rsidRDefault="003F007A" w:rsidP="00AA40A4">
            <w:pPr>
              <w:rPr>
                <w:rFonts w:ascii="Calibri" w:eastAsia="Times New Roman" w:hAnsi="Calibri"/>
                <w:b/>
                <w:bCs/>
                <w:i/>
                <w:iCs/>
                <w:color w:val="000000"/>
                <w:sz w:val="20"/>
                <w:szCs w:val="22"/>
                <w:lang w:val="en-GB" w:eastAsia="en-GB"/>
              </w:rPr>
            </w:pPr>
            <w:r w:rsidRPr="00DE147D">
              <w:rPr>
                <w:rFonts w:ascii="Calibri" w:eastAsia="Times New Roman" w:hAnsi="Calibri"/>
                <w:b/>
                <w:bCs/>
                <w:i/>
                <w:iCs/>
                <w:color w:val="000000"/>
                <w:sz w:val="20"/>
                <w:szCs w:val="22"/>
                <w:lang w:val="en-GB" w:eastAsia="en-GB"/>
              </w:rPr>
              <w:t>18.1 National Procurement Authority (NPA)</w:t>
            </w:r>
          </w:p>
        </w:tc>
      </w:tr>
      <w:tr w:rsidR="003F007A" w:rsidRPr="00AA40A4" w14:paraId="4DC739B7" w14:textId="77777777" w:rsidTr="003F007A">
        <w:trPr>
          <w:trHeight w:val="248"/>
        </w:trPr>
        <w:tc>
          <w:tcPr>
            <w:tcW w:w="2500" w:type="pct"/>
            <w:shd w:val="clear" w:color="auto" w:fill="auto"/>
            <w:noWrap/>
            <w:hideMark/>
          </w:tcPr>
          <w:p w14:paraId="2D5EB1AD"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6.6 AD: Gender Unit</w:t>
            </w:r>
          </w:p>
        </w:tc>
        <w:tc>
          <w:tcPr>
            <w:tcW w:w="2500" w:type="pct"/>
            <w:shd w:val="clear" w:color="auto" w:fill="75BB6E" w:themeFill="accent4"/>
            <w:noWrap/>
            <w:hideMark/>
          </w:tcPr>
          <w:p w14:paraId="24D30082" w14:textId="4CC78085"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19.0 Other Partner Agencies</w:t>
            </w:r>
          </w:p>
        </w:tc>
      </w:tr>
      <w:tr w:rsidR="003F007A" w:rsidRPr="00AA40A4" w14:paraId="4ABBD2EC" w14:textId="77777777" w:rsidTr="003F007A">
        <w:trPr>
          <w:trHeight w:val="248"/>
        </w:trPr>
        <w:tc>
          <w:tcPr>
            <w:tcW w:w="2500" w:type="pct"/>
            <w:shd w:val="clear" w:color="auto" w:fill="75BB6E" w:themeFill="accent4"/>
            <w:noWrap/>
            <w:hideMark/>
          </w:tcPr>
          <w:p w14:paraId="6EFE0E0D" w14:textId="77777777" w:rsidR="003F007A" w:rsidRPr="00DE147D" w:rsidRDefault="003F007A" w:rsidP="00AA40A4">
            <w:pPr>
              <w:rPr>
                <w:rFonts w:ascii="Calibri" w:eastAsia="Times New Roman" w:hAnsi="Calibri"/>
                <w:b/>
                <w:bCs/>
                <w:color w:val="000000"/>
                <w:sz w:val="20"/>
                <w:szCs w:val="22"/>
                <w:lang w:val="en-GB" w:eastAsia="en-GB"/>
              </w:rPr>
            </w:pPr>
            <w:r w:rsidRPr="00DE147D">
              <w:rPr>
                <w:rFonts w:ascii="Calibri" w:eastAsia="Times New Roman" w:hAnsi="Calibri"/>
                <w:b/>
                <w:bCs/>
                <w:color w:val="000000"/>
                <w:sz w:val="20"/>
                <w:szCs w:val="22"/>
                <w:lang w:val="en-GB" w:eastAsia="en-GB"/>
              </w:rPr>
              <w:t xml:space="preserve">7.0 SOE Department </w:t>
            </w:r>
          </w:p>
        </w:tc>
        <w:tc>
          <w:tcPr>
            <w:tcW w:w="2500" w:type="pct"/>
            <w:vMerge w:val="restart"/>
            <w:shd w:val="clear" w:color="auto" w:fill="auto"/>
            <w:noWrap/>
            <w:hideMark/>
          </w:tcPr>
          <w:p w14:paraId="236DEA22" w14:textId="666D111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19.1 AEITI Secretariat</w:t>
            </w:r>
          </w:p>
        </w:tc>
      </w:tr>
      <w:tr w:rsidR="003F007A" w:rsidRPr="00AA40A4" w14:paraId="7AA72E87" w14:textId="77777777" w:rsidTr="003F007A">
        <w:trPr>
          <w:trHeight w:val="248"/>
        </w:trPr>
        <w:tc>
          <w:tcPr>
            <w:tcW w:w="2500" w:type="pct"/>
            <w:shd w:val="clear" w:color="auto" w:fill="auto"/>
            <w:noWrap/>
            <w:hideMark/>
          </w:tcPr>
          <w:p w14:paraId="229786E5"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7.1 SD: Policy &amp; Coordination</w:t>
            </w:r>
          </w:p>
        </w:tc>
        <w:tc>
          <w:tcPr>
            <w:tcW w:w="2500" w:type="pct"/>
            <w:vMerge/>
            <w:shd w:val="clear" w:color="auto" w:fill="auto"/>
            <w:noWrap/>
            <w:hideMark/>
          </w:tcPr>
          <w:p w14:paraId="2A1ECCE5" w14:textId="7BED1F88" w:rsidR="003F007A" w:rsidRPr="00DE147D" w:rsidRDefault="003F007A" w:rsidP="00AA40A4">
            <w:pPr>
              <w:rPr>
                <w:rFonts w:ascii="Calibri" w:eastAsia="Times New Roman" w:hAnsi="Calibri"/>
                <w:color w:val="000000"/>
                <w:sz w:val="20"/>
                <w:szCs w:val="22"/>
                <w:lang w:val="en-GB" w:eastAsia="en-GB"/>
              </w:rPr>
            </w:pPr>
          </w:p>
        </w:tc>
      </w:tr>
      <w:tr w:rsidR="003F007A" w:rsidRPr="00AA40A4" w14:paraId="20104C66" w14:textId="77777777" w:rsidTr="003F007A">
        <w:trPr>
          <w:trHeight w:val="248"/>
        </w:trPr>
        <w:tc>
          <w:tcPr>
            <w:tcW w:w="2500" w:type="pct"/>
            <w:shd w:val="clear" w:color="auto" w:fill="auto"/>
            <w:noWrap/>
            <w:hideMark/>
          </w:tcPr>
          <w:p w14:paraId="7AB0D9DD"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7.2 SD: Financial Monitoring SoCs</w:t>
            </w:r>
          </w:p>
        </w:tc>
        <w:tc>
          <w:tcPr>
            <w:tcW w:w="2500" w:type="pct"/>
            <w:vMerge/>
            <w:shd w:val="clear" w:color="auto" w:fill="auto"/>
            <w:noWrap/>
            <w:hideMark/>
          </w:tcPr>
          <w:p w14:paraId="6DA2F7FB" w14:textId="66568D6D" w:rsidR="003F007A" w:rsidRPr="00DE147D" w:rsidRDefault="003F007A" w:rsidP="00AA40A4">
            <w:pPr>
              <w:rPr>
                <w:rFonts w:ascii="Calibri" w:eastAsia="Times New Roman" w:hAnsi="Calibri"/>
                <w:color w:val="000000"/>
                <w:sz w:val="20"/>
                <w:szCs w:val="22"/>
                <w:lang w:val="en-GB" w:eastAsia="en-GB"/>
              </w:rPr>
            </w:pPr>
          </w:p>
        </w:tc>
      </w:tr>
      <w:tr w:rsidR="003F007A" w:rsidRPr="00AA40A4" w14:paraId="17B996FC" w14:textId="77777777" w:rsidTr="003F007A">
        <w:trPr>
          <w:trHeight w:val="248"/>
        </w:trPr>
        <w:tc>
          <w:tcPr>
            <w:tcW w:w="2500" w:type="pct"/>
            <w:shd w:val="clear" w:color="auto" w:fill="auto"/>
            <w:noWrap/>
            <w:hideMark/>
          </w:tcPr>
          <w:p w14:paraId="2C4FB468" w14:textId="77777777" w:rsidR="003F007A" w:rsidRPr="00DE147D" w:rsidRDefault="003F007A" w:rsidP="00AA40A4">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7.3 SD: Financial Monitoring SoEs</w:t>
            </w:r>
          </w:p>
        </w:tc>
        <w:tc>
          <w:tcPr>
            <w:tcW w:w="2500" w:type="pct"/>
            <w:vMerge/>
            <w:shd w:val="clear" w:color="auto" w:fill="auto"/>
            <w:noWrap/>
            <w:hideMark/>
          </w:tcPr>
          <w:p w14:paraId="08C8BAF9" w14:textId="41964A9F" w:rsidR="003F007A" w:rsidRPr="00DE147D" w:rsidRDefault="003F007A" w:rsidP="00AA40A4">
            <w:pPr>
              <w:rPr>
                <w:rFonts w:ascii="Calibri" w:eastAsia="Times New Roman" w:hAnsi="Calibri"/>
                <w:color w:val="000000"/>
                <w:sz w:val="20"/>
                <w:szCs w:val="22"/>
                <w:lang w:val="en-GB" w:eastAsia="en-GB"/>
              </w:rPr>
            </w:pPr>
          </w:p>
        </w:tc>
      </w:tr>
      <w:tr w:rsidR="003F007A" w:rsidRPr="00AA40A4" w14:paraId="32216CB7" w14:textId="77777777" w:rsidTr="003F007A">
        <w:trPr>
          <w:trHeight w:val="248"/>
        </w:trPr>
        <w:tc>
          <w:tcPr>
            <w:tcW w:w="2500" w:type="pct"/>
            <w:shd w:val="clear" w:color="auto" w:fill="auto"/>
            <w:noWrap/>
            <w:hideMark/>
          </w:tcPr>
          <w:p w14:paraId="495B4A8C" w14:textId="5CB1718E" w:rsidR="003F007A" w:rsidRPr="00DE147D" w:rsidRDefault="003F007A" w:rsidP="00AE44A8">
            <w:pPr>
              <w:rPr>
                <w:rFonts w:ascii="Calibri" w:eastAsia="Times New Roman" w:hAnsi="Calibri"/>
                <w:color w:val="000000"/>
                <w:sz w:val="20"/>
                <w:szCs w:val="22"/>
                <w:lang w:val="en-GB" w:eastAsia="en-GB"/>
              </w:rPr>
            </w:pPr>
            <w:r w:rsidRPr="00DE147D">
              <w:rPr>
                <w:rFonts w:ascii="Calibri" w:eastAsia="Times New Roman" w:hAnsi="Calibri"/>
                <w:color w:val="000000"/>
                <w:sz w:val="20"/>
                <w:szCs w:val="22"/>
                <w:lang w:val="en-GB" w:eastAsia="en-GB"/>
              </w:rPr>
              <w:t>7.4 SD: Divesture of State Profitable Entities and Establishment of New State-Owned Enterprises and Corporations</w:t>
            </w:r>
          </w:p>
        </w:tc>
        <w:tc>
          <w:tcPr>
            <w:tcW w:w="2500" w:type="pct"/>
            <w:vMerge/>
            <w:shd w:val="clear" w:color="auto" w:fill="auto"/>
            <w:noWrap/>
            <w:hideMark/>
          </w:tcPr>
          <w:p w14:paraId="4E47C370" w14:textId="10FDCD2F" w:rsidR="003F007A" w:rsidRPr="00DE147D" w:rsidRDefault="003F007A" w:rsidP="00AE44A8">
            <w:pPr>
              <w:rPr>
                <w:rFonts w:ascii="Calibri" w:eastAsia="Times New Roman" w:hAnsi="Calibri"/>
                <w:color w:val="000000"/>
                <w:sz w:val="20"/>
                <w:szCs w:val="22"/>
                <w:lang w:val="en-GB" w:eastAsia="en-GB"/>
              </w:rPr>
            </w:pPr>
          </w:p>
        </w:tc>
      </w:tr>
    </w:tbl>
    <w:p w14:paraId="4B6A5860" w14:textId="77777777" w:rsidR="00641577" w:rsidRPr="00641577" w:rsidRDefault="00641577" w:rsidP="00641577"/>
    <w:p w14:paraId="6B067C6A" w14:textId="5B360903" w:rsidR="00DE147D" w:rsidRDefault="00E9748A" w:rsidP="00DE147D">
      <w:pPr>
        <w:pStyle w:val="Numberedpara"/>
      </w:pPr>
      <w:r>
        <w:rPr>
          <w:b/>
        </w:rPr>
        <w:t xml:space="preserve"> </w:t>
      </w:r>
      <w:r w:rsidR="00DE147D" w:rsidRPr="00EC23C1">
        <w:rPr>
          <w:b/>
        </w:rPr>
        <w:t>The Government plans to expand the reach of the team-based performance management system over time</w:t>
      </w:r>
      <w:r w:rsidR="00DE147D">
        <w:t xml:space="preserve">. Priority partner agencies in this first phase of reforms are those central agencies responsible for systems related to Public Financial Management. In addition, as the system evolves, we will incorporate key agencies and line ministries, focussing on their corporate, budget and finance sections. </w:t>
      </w:r>
    </w:p>
    <w:p w14:paraId="1F398D91" w14:textId="11121785" w:rsidR="00DE147D" w:rsidRDefault="00E9748A" w:rsidP="00E9748A">
      <w:pPr>
        <w:pStyle w:val="Numberedpara"/>
      </w:pPr>
      <w:r>
        <w:rPr>
          <w:b/>
        </w:rPr>
        <w:t xml:space="preserve"> </w:t>
      </w:r>
      <w:r w:rsidR="00DE147D">
        <w:rPr>
          <w:b/>
        </w:rPr>
        <w:t>I</w:t>
      </w:r>
      <w:r w:rsidR="006B07D1">
        <w:rPr>
          <w:b/>
        </w:rPr>
        <w:t>nitial discussions with key</w:t>
      </w:r>
      <w:r w:rsidR="006B07D1" w:rsidRPr="00EC23C1">
        <w:rPr>
          <w:b/>
        </w:rPr>
        <w:t xml:space="preserve"> agencies</w:t>
      </w:r>
      <w:r w:rsidR="006B07D1">
        <w:rPr>
          <w:b/>
        </w:rPr>
        <w:t xml:space="preserve"> have already started</w:t>
      </w:r>
      <w:r w:rsidR="006B07D1" w:rsidRPr="00EC23C1">
        <w:rPr>
          <w:b/>
        </w:rPr>
        <w:t>.</w:t>
      </w:r>
      <w:r w:rsidR="006B07D1">
        <w:t xml:space="preserve"> The Government expects that the Central </w:t>
      </w:r>
      <w:r w:rsidR="006B07D1" w:rsidRPr="00480CC8">
        <w:t>Statistics</w:t>
      </w:r>
      <w:r w:rsidR="006B07D1">
        <w:t xml:space="preserve"> Office (CSO)</w:t>
      </w:r>
      <w:r w:rsidR="006B07D1" w:rsidRPr="00480CC8">
        <w:t xml:space="preserve">, </w:t>
      </w:r>
      <w:r w:rsidR="006B07D1">
        <w:t xml:space="preserve">Supreme </w:t>
      </w:r>
      <w:r w:rsidR="006B07D1" w:rsidRPr="00480CC8">
        <w:t>Audit</w:t>
      </w:r>
      <w:r w:rsidR="006B07D1">
        <w:t xml:space="preserve"> Office (SAO)</w:t>
      </w:r>
      <w:r w:rsidR="006B07D1" w:rsidRPr="00480CC8">
        <w:t xml:space="preserve">, Ministry of Agriculture Irrigation and Livestock </w:t>
      </w:r>
      <w:r w:rsidR="006B07D1">
        <w:t>(MAIL)</w:t>
      </w:r>
      <w:r w:rsidR="006B07D1" w:rsidRPr="00480CC8">
        <w:t xml:space="preserve">, </w:t>
      </w:r>
      <w:r w:rsidR="006B07D1">
        <w:t xml:space="preserve">Ministry of </w:t>
      </w:r>
      <w:r w:rsidR="006B07D1" w:rsidRPr="00480CC8">
        <w:t xml:space="preserve">Interior, </w:t>
      </w:r>
      <w:r w:rsidR="006B07D1">
        <w:t>the Independent Directorate of Local Governance (</w:t>
      </w:r>
      <w:r w:rsidR="006B07D1" w:rsidRPr="00480CC8">
        <w:t>IDLG</w:t>
      </w:r>
      <w:r w:rsidR="006B07D1">
        <w:t>)</w:t>
      </w:r>
      <w:r w:rsidR="006B07D1" w:rsidRPr="00480CC8">
        <w:t>,</w:t>
      </w:r>
      <w:r w:rsidR="006B07D1">
        <w:t xml:space="preserve"> and the</w:t>
      </w:r>
      <w:r w:rsidR="006B07D1" w:rsidRPr="00480CC8">
        <w:t xml:space="preserve"> </w:t>
      </w:r>
      <w:r w:rsidR="006B07D1" w:rsidRPr="00912ECA">
        <w:t>Afghanistan Independent Land Authority</w:t>
      </w:r>
      <w:r w:rsidR="006B07D1">
        <w:t xml:space="preserve"> (ARAZI or AILA) will be included in the 2017 5-year Rolling Plan. </w:t>
      </w:r>
    </w:p>
    <w:p w14:paraId="60898802" w14:textId="77777777" w:rsidR="00D91741" w:rsidRPr="00FE5C2E" w:rsidRDefault="00D91741" w:rsidP="00D91741">
      <w:pPr>
        <w:pStyle w:val="Heading3"/>
        <w:rPr>
          <w:lang w:val="en-GB"/>
        </w:rPr>
      </w:pPr>
      <w:bookmarkStart w:id="20" w:name="_Toc457162622"/>
      <w:r>
        <w:rPr>
          <w:color w:val="4E9747" w:themeColor="accent4" w:themeShade="BF"/>
          <w:lang w:val="en-GB"/>
        </w:rPr>
        <w:t>The Flagship Reforms</w:t>
      </w:r>
      <w:r>
        <w:rPr>
          <w:lang w:val="en-GB"/>
        </w:rPr>
        <w:t xml:space="preserve"> – Taking on the Big Challenges</w:t>
      </w:r>
      <w:bookmarkEnd w:id="20"/>
    </w:p>
    <w:p w14:paraId="172F5A9B" w14:textId="7E1D0CF9" w:rsidR="005928C7" w:rsidRDefault="00E9748A" w:rsidP="00EC65C8">
      <w:pPr>
        <w:pStyle w:val="Numberedpara"/>
      </w:pPr>
      <w:r>
        <w:rPr>
          <w:b/>
        </w:rPr>
        <w:t xml:space="preserve"> </w:t>
      </w:r>
      <w:r w:rsidR="005928C7" w:rsidRPr="006F3061">
        <w:rPr>
          <w:b/>
        </w:rPr>
        <w:t>The complexity and enormity of this reform effort</w:t>
      </w:r>
      <w:r w:rsidR="00881DD1">
        <w:rPr>
          <w:b/>
        </w:rPr>
        <w:t xml:space="preserve"> is evident in the team level 5-</w:t>
      </w:r>
      <w:r w:rsidR="005928C7" w:rsidRPr="006F3061">
        <w:rPr>
          <w:b/>
        </w:rPr>
        <w:t>year rolling plans attached to this paper</w:t>
      </w:r>
      <w:r w:rsidR="00412393" w:rsidRPr="005928C7">
        <w:t>.</w:t>
      </w:r>
      <w:r w:rsidR="005928C7">
        <w:t xml:space="preserve"> </w:t>
      </w:r>
      <w:r w:rsidR="00842D3D">
        <w:t xml:space="preserve">Included in this inaugural plan </w:t>
      </w:r>
      <w:r w:rsidR="005928C7">
        <w:t xml:space="preserve">are 19 General Directorates and 63 Directorates. Each Directorate has </w:t>
      </w:r>
      <w:r w:rsidR="00881DD1">
        <w:t xml:space="preserve">identified </w:t>
      </w:r>
      <w:r w:rsidR="005928C7">
        <w:t xml:space="preserve">around </w:t>
      </w:r>
      <w:r w:rsidR="00881DD1">
        <w:t xml:space="preserve">10 to </w:t>
      </w:r>
      <w:r w:rsidR="005928C7" w:rsidRPr="00BA35C1">
        <w:t>12</w:t>
      </w:r>
      <w:r w:rsidR="00993663">
        <w:t xml:space="preserve"> activities </w:t>
      </w:r>
      <w:r w:rsidR="00842D3D">
        <w:t>for</w:t>
      </w:r>
      <w:r w:rsidR="005928C7">
        <w:t xml:space="preserve"> monitor</w:t>
      </w:r>
      <w:r w:rsidR="00842D3D">
        <w:t>ing and assessment</w:t>
      </w:r>
      <w:r w:rsidR="00881DD1">
        <w:t>. M</w:t>
      </w:r>
      <w:r w:rsidR="005928C7">
        <w:t xml:space="preserve">eaning the Government is implementing around </w:t>
      </w:r>
      <w:r w:rsidR="005928C7" w:rsidRPr="00BA35C1">
        <w:t>700</w:t>
      </w:r>
      <w:r w:rsidR="005928C7">
        <w:t xml:space="preserve"> activities ma</w:t>
      </w:r>
      <w:r w:rsidR="00B40BC8">
        <w:t>ny of which have sub-activities. T</w:t>
      </w:r>
      <w:r w:rsidR="005928C7">
        <w:t>his is just the core agencies responsible for the PFM system, and does not yet include line ministries who actu</w:t>
      </w:r>
      <w:r w:rsidR="00B40BC8">
        <w:t xml:space="preserve">ally spend the national budget, which </w:t>
      </w:r>
      <w:r w:rsidR="00842D3D">
        <w:t>we will phase</w:t>
      </w:r>
      <w:r w:rsidR="007C5CD3">
        <w:t xml:space="preserve"> into the performance management system beginning in 2017.</w:t>
      </w:r>
    </w:p>
    <w:p w14:paraId="44F68E67" w14:textId="3B87AD7C" w:rsidR="00B40BC8" w:rsidRDefault="00E9748A" w:rsidP="00EC65C8">
      <w:pPr>
        <w:pStyle w:val="Numberedpara"/>
      </w:pPr>
      <w:r>
        <w:rPr>
          <w:b/>
        </w:rPr>
        <w:t xml:space="preserve"> </w:t>
      </w:r>
      <w:r w:rsidR="005928C7" w:rsidRPr="003233D3">
        <w:rPr>
          <w:b/>
        </w:rPr>
        <w:t>This reflects a reality that is often lost when reforms are “projectised”</w:t>
      </w:r>
      <w:r w:rsidR="005928C7">
        <w:t xml:space="preserve"> and the focus is solely on strategic level outcomes. Government is big and complicated.</w:t>
      </w:r>
      <w:r w:rsidR="00412393" w:rsidRPr="005928C7">
        <w:t xml:space="preserve"> </w:t>
      </w:r>
      <w:r w:rsidR="005928C7">
        <w:t xml:space="preserve">Despite this complexity, it is incumbent on the Government to provide a coherent narrative on what this all means. </w:t>
      </w:r>
    </w:p>
    <w:p w14:paraId="592D9DED" w14:textId="3FCE9C7B" w:rsidR="00DB476D" w:rsidRDefault="00B40BC8" w:rsidP="00EC65C8">
      <w:pPr>
        <w:pStyle w:val="Numberedpara"/>
      </w:pPr>
      <w:r w:rsidRPr="00B40BC8">
        <w:rPr>
          <w:b/>
        </w:rPr>
        <w:t xml:space="preserve"> </w:t>
      </w:r>
      <w:r w:rsidR="005928C7" w:rsidRPr="00B40BC8">
        <w:rPr>
          <w:b/>
        </w:rPr>
        <w:t>This plan forms the basis of the PFM reforms outlined by the</w:t>
      </w:r>
      <w:r w:rsidR="007C5CD3" w:rsidRPr="00B40BC8">
        <w:rPr>
          <w:b/>
        </w:rPr>
        <w:t xml:space="preserve"> President</w:t>
      </w:r>
      <w:r w:rsidR="005928C7" w:rsidRPr="00B40BC8">
        <w:rPr>
          <w:b/>
        </w:rPr>
        <w:t xml:space="preserve"> and the Minister for Finance to the International Community in Kabul in late 2015.</w:t>
      </w:r>
      <w:r w:rsidR="005928C7">
        <w:t xml:space="preserve"> This plan will be the </w:t>
      </w:r>
      <w:r w:rsidR="00DB476D">
        <w:t xml:space="preserve">scorecard </w:t>
      </w:r>
      <w:r w:rsidR="00881DD1">
        <w:t xml:space="preserve">for </w:t>
      </w:r>
      <w:r w:rsidR="00DB476D">
        <w:t>when the Government next reports to its development partners later this year.</w:t>
      </w:r>
    </w:p>
    <w:p w14:paraId="5F173FCB" w14:textId="77777777" w:rsidR="00E9748A" w:rsidRDefault="00E9748A" w:rsidP="00E9748A">
      <w:pPr>
        <w:pStyle w:val="Numberedpara"/>
        <w:numPr>
          <w:ilvl w:val="0"/>
          <w:numId w:val="0"/>
        </w:numPr>
        <w:ind w:left="360"/>
      </w:pPr>
    </w:p>
    <w:p w14:paraId="66B54B4D" w14:textId="17CFCE58" w:rsidR="00DB476D" w:rsidRDefault="00DB476D" w:rsidP="00EC65C8">
      <w:pPr>
        <w:pStyle w:val="Numberedpara"/>
      </w:pPr>
      <w:r w:rsidRPr="003233D3">
        <w:lastRenderedPageBreak/>
        <w:t>To this end this next section summarises the flagship reforms</w:t>
      </w:r>
      <w:r w:rsidR="00B40BC8">
        <w:t xml:space="preserve"> under three</w:t>
      </w:r>
      <w:r>
        <w:t xml:space="preserve"> headings:</w:t>
      </w:r>
      <w:r w:rsidR="00B40BC8">
        <w:br/>
      </w:r>
    </w:p>
    <w:p w14:paraId="503F66CD" w14:textId="77777777" w:rsidR="00DB476D" w:rsidRDefault="00DB476D" w:rsidP="00B40BC8">
      <w:pPr>
        <w:pStyle w:val="THETEXTSTYLE"/>
        <w:numPr>
          <w:ilvl w:val="1"/>
          <w:numId w:val="4"/>
        </w:numPr>
        <w:spacing w:after="120"/>
        <w:ind w:left="1077" w:hanging="357"/>
        <w:rPr>
          <w:rFonts w:asciiTheme="minorHAnsi" w:eastAsiaTheme="minorHAnsi" w:hAnsiTheme="minorHAnsi" w:cstheme="minorBidi"/>
          <w:color w:val="5F5F5F" w:themeColor="text2" w:themeTint="BF"/>
          <w:sz w:val="22"/>
          <w:lang w:val="en-GB" w:eastAsia="ja-JP"/>
        </w:rPr>
      </w:pPr>
      <w:r w:rsidRPr="003233D3">
        <w:rPr>
          <w:rFonts w:asciiTheme="minorHAnsi" w:eastAsiaTheme="minorHAnsi" w:hAnsiTheme="minorHAnsi" w:cstheme="minorBidi"/>
          <w:b/>
          <w:i/>
          <w:color w:val="5F5F5F" w:themeColor="text2" w:themeTint="BF"/>
          <w:sz w:val="22"/>
          <w:lang w:val="en-GB" w:eastAsia="ja-JP"/>
        </w:rPr>
        <w:t>Reforms to improve the performance of Government investments</w:t>
      </w:r>
      <w:r w:rsidRPr="00DB476D">
        <w:rPr>
          <w:rFonts w:asciiTheme="minorHAnsi" w:eastAsiaTheme="minorHAnsi" w:hAnsiTheme="minorHAnsi" w:cstheme="minorBidi"/>
          <w:color w:val="5F5F5F" w:themeColor="text2" w:themeTint="BF"/>
          <w:sz w:val="22"/>
          <w:lang w:val="en-GB" w:eastAsia="ja-JP"/>
        </w:rPr>
        <w:t xml:space="preserve">, leading to better economic outcomes </w:t>
      </w:r>
    </w:p>
    <w:p w14:paraId="4DFFBAEF" w14:textId="30D56E21" w:rsidR="00DB476D" w:rsidRPr="003233D3" w:rsidRDefault="00DB476D" w:rsidP="00B40BC8">
      <w:pPr>
        <w:pStyle w:val="THETEXTSTYLE"/>
        <w:numPr>
          <w:ilvl w:val="1"/>
          <w:numId w:val="4"/>
        </w:numPr>
        <w:spacing w:after="120"/>
        <w:ind w:left="1077" w:hanging="357"/>
        <w:rPr>
          <w:rFonts w:asciiTheme="minorHAnsi" w:eastAsiaTheme="minorHAnsi" w:hAnsiTheme="minorHAnsi" w:cstheme="minorBidi"/>
          <w:color w:val="5F5F5F" w:themeColor="text2" w:themeTint="BF"/>
          <w:sz w:val="22"/>
          <w:lang w:val="en-GB" w:eastAsia="ja-JP"/>
        </w:rPr>
      </w:pPr>
      <w:r w:rsidRPr="003233D3">
        <w:rPr>
          <w:rFonts w:asciiTheme="minorHAnsi" w:eastAsiaTheme="minorHAnsi" w:hAnsiTheme="minorHAnsi" w:cstheme="minorBidi"/>
          <w:b/>
          <w:i/>
          <w:color w:val="5F5F5F" w:themeColor="text2" w:themeTint="BF"/>
          <w:sz w:val="22"/>
          <w:lang w:val="en-GB" w:eastAsia="ja-JP"/>
        </w:rPr>
        <w:t>Reforms to ensure the budget is more accurate</w:t>
      </w:r>
      <w:r w:rsidRPr="003233D3">
        <w:rPr>
          <w:rFonts w:asciiTheme="minorHAnsi" w:eastAsiaTheme="minorHAnsi" w:hAnsiTheme="minorHAnsi" w:cstheme="minorBidi"/>
          <w:color w:val="5F5F5F" w:themeColor="text2" w:themeTint="BF"/>
          <w:sz w:val="22"/>
          <w:lang w:val="en-GB" w:eastAsia="ja-JP"/>
        </w:rPr>
        <w:t>, transparent and free of corruption; and</w:t>
      </w:r>
    </w:p>
    <w:p w14:paraId="66B35324" w14:textId="1A2BC283" w:rsidR="00DB476D" w:rsidRDefault="00DB476D" w:rsidP="00B40BC8">
      <w:pPr>
        <w:pStyle w:val="THETEXTSTYLE"/>
        <w:numPr>
          <w:ilvl w:val="1"/>
          <w:numId w:val="4"/>
        </w:numPr>
        <w:spacing w:after="120"/>
        <w:ind w:left="1077" w:hanging="357"/>
        <w:rPr>
          <w:rFonts w:asciiTheme="minorHAnsi" w:eastAsiaTheme="minorHAnsi" w:hAnsiTheme="minorHAnsi" w:cstheme="minorBidi"/>
          <w:color w:val="5F5F5F" w:themeColor="text2" w:themeTint="BF"/>
          <w:sz w:val="22"/>
          <w:lang w:val="en-GB" w:eastAsia="ja-JP"/>
        </w:rPr>
      </w:pPr>
      <w:r w:rsidRPr="003233D3">
        <w:rPr>
          <w:rFonts w:asciiTheme="minorHAnsi" w:eastAsiaTheme="minorHAnsi" w:hAnsiTheme="minorHAnsi" w:cstheme="minorBidi"/>
          <w:b/>
          <w:i/>
          <w:color w:val="5F5F5F" w:themeColor="text2" w:themeTint="BF"/>
          <w:sz w:val="22"/>
          <w:lang w:val="en-GB" w:eastAsia="ja-JP"/>
        </w:rPr>
        <w:t>Reforms to build the capacity of the state to manage</w:t>
      </w:r>
      <w:r w:rsidRPr="00DB476D">
        <w:rPr>
          <w:rFonts w:asciiTheme="minorHAnsi" w:eastAsiaTheme="minorHAnsi" w:hAnsiTheme="minorHAnsi" w:cstheme="minorBidi"/>
          <w:color w:val="5F5F5F" w:themeColor="text2" w:themeTint="BF"/>
          <w:sz w:val="22"/>
          <w:lang w:val="en-GB" w:eastAsia="ja-JP"/>
        </w:rPr>
        <w:t xml:space="preserve"> reforms, beginning with investments in things like HR, administration, finance, IT and communications within the MOF.</w:t>
      </w:r>
      <w:r w:rsidR="00B40BC8">
        <w:rPr>
          <w:rFonts w:asciiTheme="minorHAnsi" w:eastAsiaTheme="minorHAnsi" w:hAnsiTheme="minorHAnsi" w:cstheme="minorBidi"/>
          <w:color w:val="5F5F5F" w:themeColor="text2" w:themeTint="BF"/>
          <w:sz w:val="22"/>
          <w:lang w:val="en-GB" w:eastAsia="ja-JP"/>
        </w:rPr>
        <w:br/>
      </w:r>
    </w:p>
    <w:p w14:paraId="0FB9DF62" w14:textId="179571F1" w:rsidR="00DB476D" w:rsidRDefault="00B40BC8" w:rsidP="00EC65C8">
      <w:pPr>
        <w:pStyle w:val="Numberedpara"/>
      </w:pPr>
      <w:r>
        <w:rPr>
          <w:b/>
        </w:rPr>
        <w:t xml:space="preserve"> </w:t>
      </w:r>
      <w:r w:rsidR="00DB476D" w:rsidRPr="003233D3">
        <w:rPr>
          <w:b/>
        </w:rPr>
        <w:t xml:space="preserve">The flagship reforms </w:t>
      </w:r>
      <w:r>
        <w:rPr>
          <w:b/>
        </w:rPr>
        <w:t xml:space="preserve">in the plan </w:t>
      </w:r>
      <w:r w:rsidR="00DB476D" w:rsidRPr="003233D3">
        <w:rPr>
          <w:b/>
        </w:rPr>
        <w:t>begin with improving the performance of investments</w:t>
      </w:r>
      <w:r w:rsidR="00DB476D">
        <w:t xml:space="preserve"> leading to be</w:t>
      </w:r>
      <w:r w:rsidR="00842D3D">
        <w:t>tter economic outcomes. This</w:t>
      </w:r>
      <w:r>
        <w:t xml:space="preserve"> </w:t>
      </w:r>
      <w:r w:rsidR="00DB476D">
        <w:t>refl</w:t>
      </w:r>
      <w:r w:rsidR="00842D3D">
        <w:t>ects</w:t>
      </w:r>
      <w:r>
        <w:t xml:space="preserve"> in a number of key areas</w:t>
      </w:r>
      <w:r w:rsidR="00DB476D">
        <w:t xml:space="preserve">. </w:t>
      </w:r>
    </w:p>
    <w:p w14:paraId="349E37C0" w14:textId="2536B6DA" w:rsidR="00DB476D" w:rsidRDefault="00B40BC8" w:rsidP="00EC65C8">
      <w:pPr>
        <w:pStyle w:val="Numberedpara"/>
      </w:pPr>
      <w:r>
        <w:rPr>
          <w:b/>
        </w:rPr>
        <w:t xml:space="preserve"> </w:t>
      </w:r>
      <w:r w:rsidR="00DB476D" w:rsidRPr="003233D3">
        <w:rPr>
          <w:b/>
        </w:rPr>
        <w:t>Firstly</w:t>
      </w:r>
      <w:r w:rsidR="007C5CD3" w:rsidRPr="003233D3">
        <w:rPr>
          <w:b/>
        </w:rPr>
        <w:t>,</w:t>
      </w:r>
      <w:r w:rsidR="00DB476D" w:rsidRPr="003233D3">
        <w:rPr>
          <w:b/>
        </w:rPr>
        <w:t xml:space="preserve"> the government has established a new </w:t>
      </w:r>
      <w:r w:rsidR="003C21A5">
        <w:rPr>
          <w:b/>
        </w:rPr>
        <w:t>Macro-Fiscal Performance Department</w:t>
      </w:r>
      <w:r w:rsidR="00DB476D">
        <w:t xml:space="preserve"> </w:t>
      </w:r>
      <w:r w:rsidR="00881DD1">
        <w:t xml:space="preserve">(MFPD) </w:t>
      </w:r>
      <w:r w:rsidR="00DB476D">
        <w:t>reporting directly to the Minister for Finance. Th</w:t>
      </w:r>
      <w:r>
        <w:t>is is significant as this is</w:t>
      </w:r>
      <w:r w:rsidR="00DB476D">
        <w:t xml:space="preserve"> the </w:t>
      </w:r>
      <w:r>
        <w:t xml:space="preserve">technical </w:t>
      </w:r>
      <w:r w:rsidR="00DB476D">
        <w:t>part of Government responsible for bringing revenue and expenditure estimates together and</w:t>
      </w:r>
      <w:r>
        <w:t>,</w:t>
      </w:r>
      <w:r w:rsidR="00DB476D">
        <w:t xml:space="preserve"> </w:t>
      </w:r>
      <w:r>
        <w:t xml:space="preserve">based on economic parameters, </w:t>
      </w:r>
      <w:r w:rsidR="00DB476D">
        <w:t>presenting the fiscal outlook</w:t>
      </w:r>
      <w:r w:rsidR="007C5CD3">
        <w:t xml:space="preserve"> to the Cabinet</w:t>
      </w:r>
      <w:r w:rsidR="00DB476D">
        <w:t>. The M</w:t>
      </w:r>
      <w:r>
        <w:t>FPD plan focusses on making fiscal space analysis the context</w:t>
      </w:r>
      <w:r w:rsidR="00DB476D">
        <w:t xml:space="preserve"> for Cabinet consideration of the priorities for the annual budget. It will also help underpin the creation of credible forward estimates for the budget. A statement of national priorities by the Government based on improved macro and fiscal analysis will </w:t>
      </w:r>
      <w:r>
        <w:t>lay</w:t>
      </w:r>
      <w:r w:rsidR="003233D3">
        <w:t xml:space="preserve"> the foundation</w:t>
      </w:r>
      <w:r>
        <w:t xml:space="preserve"> for</w:t>
      </w:r>
      <w:r w:rsidR="003233D3">
        <w:t xml:space="preserve"> linking policy and budgets.</w:t>
      </w:r>
    </w:p>
    <w:p w14:paraId="5AA1FFBE" w14:textId="48446E3B" w:rsidR="00DB476D" w:rsidRDefault="00B40BC8" w:rsidP="00EC65C8">
      <w:pPr>
        <w:pStyle w:val="Numberedpara"/>
      </w:pPr>
      <w:r>
        <w:rPr>
          <w:b/>
        </w:rPr>
        <w:t xml:space="preserve"> </w:t>
      </w:r>
      <w:r w:rsidR="00DB476D" w:rsidRPr="003233D3">
        <w:rPr>
          <w:b/>
        </w:rPr>
        <w:t>Secondly</w:t>
      </w:r>
      <w:r w:rsidR="007C5CD3" w:rsidRPr="003233D3">
        <w:rPr>
          <w:b/>
        </w:rPr>
        <w:t>,</w:t>
      </w:r>
      <w:r w:rsidR="00DB476D" w:rsidRPr="003233D3">
        <w:rPr>
          <w:b/>
        </w:rPr>
        <w:t xml:space="preserve"> the Government has established the </w:t>
      </w:r>
      <w:r w:rsidR="003233D3" w:rsidRPr="003233D3">
        <w:rPr>
          <w:b/>
        </w:rPr>
        <w:t xml:space="preserve">Programs Implementation </w:t>
      </w:r>
      <w:r w:rsidR="00256607" w:rsidRPr="003233D3">
        <w:rPr>
          <w:b/>
        </w:rPr>
        <w:t>and Coordination</w:t>
      </w:r>
      <w:r w:rsidR="003233D3" w:rsidRPr="003233D3">
        <w:rPr>
          <w:b/>
        </w:rPr>
        <w:t xml:space="preserve"> General Directorate</w:t>
      </w:r>
      <w:r w:rsidR="003233D3">
        <w:rPr>
          <w:b/>
        </w:rPr>
        <w:t xml:space="preserve"> </w:t>
      </w:r>
      <w:r w:rsidR="00DB476D">
        <w:t xml:space="preserve">to support the functions of the </w:t>
      </w:r>
      <w:r>
        <w:t xml:space="preserve">Development </w:t>
      </w:r>
      <w:r w:rsidR="00DB476D">
        <w:t xml:space="preserve">Councils whose primary function </w:t>
      </w:r>
      <w:r w:rsidR="00B22D31">
        <w:t>is to guide national</w:t>
      </w:r>
      <w:r w:rsidR="00DB476D">
        <w:t xml:space="preserve"> priorities. This i</w:t>
      </w:r>
      <w:r w:rsidR="007C5CD3">
        <w:t>s in effect a Cabinet Secretaria</w:t>
      </w:r>
      <w:r w:rsidR="00DB476D">
        <w:t>t role and their plan focusses on setting up robust</w:t>
      </w:r>
      <w:r w:rsidR="00ED75A4">
        <w:t xml:space="preserve"> procedures for managing the bus</w:t>
      </w:r>
      <w:r w:rsidR="00DB476D">
        <w:t>ines</w:t>
      </w:r>
      <w:r w:rsidR="00ED75A4">
        <w:t>s</w:t>
      </w:r>
      <w:r w:rsidR="003233D3">
        <w:t xml:space="preserve"> of the councils. </w:t>
      </w:r>
      <w:r w:rsidR="00B22D31">
        <w:t>This</w:t>
      </w:r>
      <w:r w:rsidR="00DB476D">
        <w:t xml:space="preserve"> allows the Directorate General of Budget to direct budget submissions </w:t>
      </w:r>
      <w:r w:rsidR="00ED75A4">
        <w:t>towards national priorities with a clear understanding of the fiscal space available for Government investment.</w:t>
      </w:r>
    </w:p>
    <w:p w14:paraId="69BF2B96" w14:textId="7BE6C107" w:rsidR="00ED75A4" w:rsidRDefault="00B22D31" w:rsidP="00EC65C8">
      <w:pPr>
        <w:pStyle w:val="Numberedpara"/>
      </w:pPr>
      <w:r>
        <w:t xml:space="preserve"> </w:t>
      </w:r>
      <w:r>
        <w:rPr>
          <w:b/>
        </w:rPr>
        <w:t>T</w:t>
      </w:r>
      <w:r w:rsidRPr="00B22D31">
        <w:rPr>
          <w:b/>
        </w:rPr>
        <w:t xml:space="preserve">his improvement in the policy setting process at the start of the annual budget cycle will reinforce </w:t>
      </w:r>
      <w:r>
        <w:rPr>
          <w:b/>
        </w:rPr>
        <w:t>a</w:t>
      </w:r>
      <w:r w:rsidR="00256607" w:rsidRPr="00B22D31">
        <w:rPr>
          <w:b/>
        </w:rPr>
        <w:t xml:space="preserve"> range of measures to ensure the accuracy, transparency and robustness of the budget</w:t>
      </w:r>
      <w:r w:rsidR="00ED75A4" w:rsidRPr="00B22D31">
        <w:rPr>
          <w:b/>
        </w:rPr>
        <w:t xml:space="preserve">. </w:t>
      </w:r>
      <w:r w:rsidR="00ED75A4">
        <w:t xml:space="preserve">This will begin with efforts to introduce more </w:t>
      </w:r>
      <w:r w:rsidR="00256607">
        <w:t>systematic,</w:t>
      </w:r>
      <w:r w:rsidR="003233D3">
        <w:t xml:space="preserve"> </w:t>
      </w:r>
      <w:r w:rsidR="00ED75A4">
        <w:t>accurate</w:t>
      </w:r>
      <w:r w:rsidR="003233D3">
        <w:t xml:space="preserve"> and rule-based</w:t>
      </w:r>
      <w:r w:rsidR="00ED75A4">
        <w:t xml:space="preserve"> costing of budget proposal</w:t>
      </w:r>
      <w:r w:rsidR="007C5CD3">
        <w:t>s piloting new approaches in the</w:t>
      </w:r>
      <w:r w:rsidR="00ED75A4">
        <w:t xml:space="preserve"> MOF before rolling them out to other Ministries. There</w:t>
      </w:r>
      <w:r>
        <w:t xml:space="preserve"> will also be trials of reforms</w:t>
      </w:r>
      <w:r w:rsidR="00ED75A4">
        <w:t xml:space="preserve"> </w:t>
      </w:r>
      <w:r>
        <w:t>to</w:t>
      </w:r>
      <w:r w:rsidR="00ED75A4">
        <w:t xml:space="preserve"> commitment control</w:t>
      </w:r>
      <w:r>
        <w:t xml:space="preserve">s </w:t>
      </w:r>
      <w:r w:rsidR="00ED75A4">
        <w:t xml:space="preserve">to ensure </w:t>
      </w:r>
      <w:r w:rsidR="00411DAF">
        <w:t>the use of</w:t>
      </w:r>
      <w:r w:rsidR="00ED75A4">
        <w:t xml:space="preserve"> allotments </w:t>
      </w:r>
      <w:r w:rsidR="00411DAF">
        <w:t xml:space="preserve">is </w:t>
      </w:r>
      <w:r w:rsidR="00ED75A4">
        <w:t>for the</w:t>
      </w:r>
      <w:r w:rsidR="007C5CD3">
        <w:t>ir</w:t>
      </w:r>
      <w:r w:rsidR="00ED75A4">
        <w:t xml:space="preserve"> intended purpose. With improved forecasting and the establishment of rolling forward estimates, </w:t>
      </w:r>
      <w:r w:rsidR="00411DAF">
        <w:t xml:space="preserve">we will see the elimination of </w:t>
      </w:r>
      <w:r w:rsidR="00ED75A4">
        <w:t>the systematic over estimation of both revenue and expenditure that has been a feature of the national</w:t>
      </w:r>
      <w:r>
        <w:t xml:space="preserve"> budget over recent years</w:t>
      </w:r>
      <w:r w:rsidR="00ED75A4">
        <w:t>.</w:t>
      </w:r>
      <w:r w:rsidR="007C5CD3">
        <w:t xml:space="preserve"> This</w:t>
      </w:r>
      <w:r w:rsidR="00ED75A4">
        <w:t xml:space="preserve"> is </w:t>
      </w:r>
      <w:r>
        <w:t>a key reform area</w:t>
      </w:r>
      <w:r w:rsidR="00ED75A4">
        <w:t xml:space="preserve"> if Afghanistan is to reach its aspirational targets u</w:t>
      </w:r>
      <w:r>
        <w:t>nder international benchmarks for</w:t>
      </w:r>
      <w:r w:rsidR="00ED75A4">
        <w:t xml:space="preserve"> good public financial management.</w:t>
      </w:r>
    </w:p>
    <w:p w14:paraId="6B48E1DC" w14:textId="39B7C67D" w:rsidR="00411DAF" w:rsidRDefault="00D734C9" w:rsidP="00EC65C8">
      <w:pPr>
        <w:pStyle w:val="Numberedpara"/>
      </w:pPr>
      <w:r>
        <w:rPr>
          <w:b/>
          <w:i/>
        </w:rPr>
        <w:t xml:space="preserve"> </w:t>
      </w:r>
      <w:r w:rsidR="00411DAF" w:rsidRPr="00740D07">
        <w:rPr>
          <w:b/>
          <w:i/>
        </w:rPr>
        <w:t xml:space="preserve">Treasury will make very large investments in </w:t>
      </w:r>
      <w:r w:rsidR="00411DAF">
        <w:rPr>
          <w:b/>
          <w:i/>
        </w:rPr>
        <w:t>the Afghanistan Financial Management System (</w:t>
      </w:r>
      <w:r w:rsidR="00411DAF" w:rsidRPr="00740D07">
        <w:rPr>
          <w:b/>
          <w:i/>
        </w:rPr>
        <w:t>AFMIS</w:t>
      </w:r>
      <w:r w:rsidR="00411DAF">
        <w:rPr>
          <w:b/>
          <w:i/>
        </w:rPr>
        <w:t>)</w:t>
      </w:r>
      <w:r w:rsidR="00411DAF" w:rsidRPr="00740D07">
        <w:rPr>
          <w:b/>
          <w:i/>
        </w:rPr>
        <w:t xml:space="preserve"> </w:t>
      </w:r>
      <w:r w:rsidR="00411DAF" w:rsidRPr="00740D07">
        <w:rPr>
          <w:b/>
        </w:rPr>
        <w:t>to bed in important improvements to the management of expenditure.</w:t>
      </w:r>
      <w:r w:rsidR="00411DAF">
        <w:t xml:space="preserve"> An upgraded AFMIS will link contract and procurement information to Treasury functions. This will </w:t>
      </w:r>
      <w:r w:rsidR="00411DAF">
        <w:lastRenderedPageBreak/>
        <w:t xml:space="preserve">combine with improved cash management and commitment controls to remove most of the points of discretion in the system that allow for corruption. The National Procurement Authority (NPA) will work with Treasury to ensure no payments to any project that has not met Government procurement standards. Similarly, contractors will receive no milestone payments unless the contract and milestones are on the system. </w:t>
      </w:r>
    </w:p>
    <w:p w14:paraId="2B89C3BF" w14:textId="617CA870" w:rsidR="006569A5" w:rsidRDefault="00B22D31" w:rsidP="00EC65C8">
      <w:pPr>
        <w:pStyle w:val="Numberedpara"/>
      </w:pPr>
      <w:r>
        <w:rPr>
          <w:b/>
        </w:rPr>
        <w:t xml:space="preserve"> </w:t>
      </w:r>
      <w:r w:rsidR="00ED75A4" w:rsidRPr="003233D3">
        <w:rPr>
          <w:b/>
        </w:rPr>
        <w:t xml:space="preserve">Budget </w:t>
      </w:r>
      <w:r w:rsidR="006569A5" w:rsidRPr="003233D3">
        <w:rPr>
          <w:b/>
        </w:rPr>
        <w:t xml:space="preserve">reporting </w:t>
      </w:r>
      <w:r w:rsidR="00ED75A4" w:rsidRPr="003233D3">
        <w:rPr>
          <w:b/>
        </w:rPr>
        <w:t xml:space="preserve">remains an area </w:t>
      </w:r>
      <w:r w:rsidR="006569A5" w:rsidRPr="003233D3">
        <w:rPr>
          <w:b/>
        </w:rPr>
        <w:t>in need of significant improvement.</w:t>
      </w:r>
      <w:r w:rsidR="006569A5">
        <w:t xml:space="preserve"> As noted in the President’s PFM</w:t>
      </w:r>
      <w:r w:rsidR="007C5CD3">
        <w:t xml:space="preserve"> Assessment</w:t>
      </w:r>
      <w:r>
        <w:t xml:space="preserve"> and in PEFA scores</w:t>
      </w:r>
      <w:r w:rsidR="007C5CD3">
        <w:t xml:space="preserve">, </w:t>
      </w:r>
      <w:r>
        <w:t>an accurate comparison</w:t>
      </w:r>
      <w:r w:rsidR="006569A5">
        <w:t xml:space="preserve"> </w:t>
      </w:r>
      <w:r>
        <w:t xml:space="preserve">of </w:t>
      </w:r>
      <w:r w:rsidR="006569A5">
        <w:t>the budget to the end of year financial accounts</w:t>
      </w:r>
      <w:r>
        <w:t xml:space="preserve"> is not possible with current structures and systems</w:t>
      </w:r>
      <w:r w:rsidR="006569A5">
        <w:t>.</w:t>
      </w:r>
      <w:r w:rsidR="007C5CD3">
        <w:t xml:space="preserve"> The Government intends to move to a consolidated national budget over time with one currency and one accounting standard.</w:t>
      </w:r>
      <w:r>
        <w:t xml:space="preserve"> T</w:t>
      </w:r>
      <w:r w:rsidR="006569A5">
        <w:t xml:space="preserve">he Government will introduce </w:t>
      </w:r>
      <w:r>
        <w:t>ministerial</w:t>
      </w:r>
      <w:r w:rsidR="003233D3">
        <w:t xml:space="preserve"> </w:t>
      </w:r>
      <w:r w:rsidR="006569A5">
        <w:t>budget statemen</w:t>
      </w:r>
      <w:r>
        <w:t>ts at the beginning of the fiscal</w:t>
      </w:r>
      <w:r w:rsidR="006569A5">
        <w:t xml:space="preserve"> year and annual reports that compare budgets to actuals. Th</w:t>
      </w:r>
      <w:r w:rsidR="00411DAF">
        <w:t>e MoF will pilot these reforms, which will then roll</w:t>
      </w:r>
      <w:r w:rsidR="006569A5">
        <w:t xml:space="preserve"> out </w:t>
      </w:r>
      <w:r w:rsidR="00256607">
        <w:t>to all line Ministries over the next few years</w:t>
      </w:r>
      <w:r>
        <w:t xml:space="preserve">. This will not replace </w:t>
      </w:r>
      <w:r w:rsidR="006569A5">
        <w:t>internal and ex</w:t>
      </w:r>
      <w:r>
        <w:t>ternal audit with the 2016 plan</w:t>
      </w:r>
      <w:r w:rsidR="007D34A9">
        <w:t xml:space="preserve"> focussed</w:t>
      </w:r>
      <w:r w:rsidR="006569A5">
        <w:t xml:space="preserve"> on strengthening internal audit to meet international standards and building capacity for audit.</w:t>
      </w:r>
    </w:p>
    <w:p w14:paraId="036EC1A0" w14:textId="46F841C8" w:rsidR="006569A5" w:rsidRDefault="00B22D31" w:rsidP="00EC65C8">
      <w:pPr>
        <w:pStyle w:val="Numberedpara"/>
      </w:pPr>
      <w:r>
        <w:rPr>
          <w:b/>
        </w:rPr>
        <w:t xml:space="preserve"> </w:t>
      </w:r>
      <w:r w:rsidR="006569A5" w:rsidRPr="006E6A15">
        <w:rPr>
          <w:b/>
        </w:rPr>
        <w:t>Revenue is an area that has already been a key focus for the Government</w:t>
      </w:r>
      <w:r w:rsidR="006569A5">
        <w:t>, with significant improvements already achieved</w:t>
      </w:r>
      <w:r>
        <w:t>. This plan shows strong intent</w:t>
      </w:r>
      <w:r w:rsidR="007D34A9">
        <w:t xml:space="preserve"> in</w:t>
      </w:r>
      <w:r>
        <w:t xml:space="preserve"> </w:t>
      </w:r>
      <w:r w:rsidR="007D34A9">
        <w:t>revenue and</w:t>
      </w:r>
      <w:r w:rsidR="00256607">
        <w:t xml:space="preserve"> customs</w:t>
      </w:r>
      <w:r w:rsidR="006569A5">
        <w:t xml:space="preserve"> to increase revenue. The focus is on doing </w:t>
      </w:r>
      <w:r w:rsidR="007C5CD3">
        <w:t>the basics</w:t>
      </w:r>
      <w:r w:rsidR="006569A5">
        <w:t xml:space="preserve"> first, expanding the reach of the revenue authorities and improving compliance. Policy measures will remain un</w:t>
      </w:r>
      <w:r w:rsidR="007C5CD3">
        <w:t>der consideration but the</w:t>
      </w:r>
      <w:r w:rsidR="006569A5">
        <w:t xml:space="preserve"> reach and capacity of the revenue and customs departments to administer </w:t>
      </w:r>
      <w:r w:rsidR="00411DAF">
        <w:t>the current system is the</w:t>
      </w:r>
      <w:r w:rsidR="006569A5">
        <w:t xml:space="preserve"> priority. This will be a key area for donor support, particularly in expanding the reach of the Government into the districts.</w:t>
      </w:r>
    </w:p>
    <w:p w14:paraId="63B3FEBA" w14:textId="4A12C51B" w:rsidR="006569A5" w:rsidRDefault="00B22D31" w:rsidP="00EC65C8">
      <w:pPr>
        <w:pStyle w:val="Numberedpara"/>
      </w:pPr>
      <w:r>
        <w:rPr>
          <w:b/>
        </w:rPr>
        <w:t xml:space="preserve"> </w:t>
      </w:r>
      <w:r w:rsidR="006569A5" w:rsidRPr="006E6A15">
        <w:rPr>
          <w:b/>
        </w:rPr>
        <w:t>None of this will be possible unless the Government can improve its institutional capacity to manage the national budget</w:t>
      </w:r>
      <w:r w:rsidR="006569A5">
        <w:t>.</w:t>
      </w:r>
      <w:r w:rsidR="007C5CD3">
        <w:t xml:space="preserve"> Th</w:t>
      </w:r>
      <w:r w:rsidR="006569A5">
        <w:t>is plan contains significant measures to improve HR, IT, administration and especially internal budget and financial management</w:t>
      </w:r>
      <w:r w:rsidR="007C5CD3">
        <w:t xml:space="preserve"> processes</w:t>
      </w:r>
      <w:r w:rsidR="006569A5">
        <w:t xml:space="preserve">. The Government will begin with </w:t>
      </w:r>
      <w:r w:rsidR="00411DAF">
        <w:t>the Mo</w:t>
      </w:r>
      <w:r>
        <w:t>F and add in</w:t>
      </w:r>
      <w:r w:rsidR="006569A5">
        <w:t xml:space="preserve"> key line ministries over the next year</w:t>
      </w:r>
      <w:r w:rsidR="00411DAF">
        <w:t xml:space="preserve"> or two. These reforms aim </w:t>
      </w:r>
      <w:r w:rsidR="006569A5">
        <w:t>t</w:t>
      </w:r>
      <w:r w:rsidR="00411DAF">
        <w:t>o reduce fiduciary risks and improve</w:t>
      </w:r>
      <w:r w:rsidR="006569A5">
        <w:t xml:space="preserve"> the performance of the Government. A good example is the policy of moving away from externally contracted staff towards more use of CBR and making su</w:t>
      </w:r>
      <w:r w:rsidR="00411DAF">
        <w:t>re that all core positions are T</w:t>
      </w:r>
      <w:r w:rsidR="006569A5">
        <w:t xml:space="preserve">ashkeel. TA will be still be needed but it will now be restricted to a small number of </w:t>
      </w:r>
      <w:r w:rsidR="000562CF">
        <w:t xml:space="preserve">genuine </w:t>
      </w:r>
      <w:r w:rsidR="007D34A9">
        <w:t xml:space="preserve">skills </w:t>
      </w:r>
      <w:r w:rsidR="006569A5">
        <w:t>gaps.</w:t>
      </w:r>
    </w:p>
    <w:p w14:paraId="24101199" w14:textId="1769BD50" w:rsidR="00412393" w:rsidRDefault="00B22D31" w:rsidP="00B22D31">
      <w:pPr>
        <w:pStyle w:val="Numberedpara"/>
      </w:pPr>
      <w:r>
        <w:rPr>
          <w:b/>
        </w:rPr>
        <w:t xml:space="preserve"> </w:t>
      </w:r>
      <w:r w:rsidR="00411DAF">
        <w:rPr>
          <w:b/>
        </w:rPr>
        <w:t>This policy reflects</w:t>
      </w:r>
      <w:r w:rsidRPr="005779AB">
        <w:rPr>
          <w:b/>
        </w:rPr>
        <w:t xml:space="preserve"> the Government</w:t>
      </w:r>
      <w:r w:rsidR="00411DAF">
        <w:rPr>
          <w:b/>
        </w:rPr>
        <w:t>’s decision</w:t>
      </w:r>
      <w:r w:rsidRPr="005779AB">
        <w:rPr>
          <w:b/>
        </w:rPr>
        <w:t xml:space="preserve"> not </w:t>
      </w:r>
      <w:r w:rsidR="00411DAF">
        <w:rPr>
          <w:b/>
        </w:rPr>
        <w:t>to seek</w:t>
      </w:r>
      <w:r w:rsidRPr="005779AB">
        <w:rPr>
          <w:b/>
        </w:rPr>
        <w:t xml:space="preserve"> to extend or replace the UNDP supported MBAW or the UK supported SABII in the short term.</w:t>
      </w:r>
      <w:r>
        <w:t xml:space="preserve"> While these programs have made a significant contribution to the Government’s capac</w:t>
      </w:r>
      <w:r w:rsidR="00411DAF">
        <w:t>ity, the Government’s focus</w:t>
      </w:r>
      <w:r>
        <w:t xml:space="preserve"> </w:t>
      </w:r>
      <w:r w:rsidR="00411DAF">
        <w:t xml:space="preserve">is </w:t>
      </w:r>
      <w:r>
        <w:t>on putting in place long-term business plans, with sustainable staffing profiles with officials in all</w:t>
      </w:r>
      <w:r w:rsidR="00411DAF">
        <w:t xml:space="preserve"> key positions. With this done, we will targeted external support </w:t>
      </w:r>
      <w:r>
        <w:t>to meet the Government’s needs.</w:t>
      </w:r>
    </w:p>
    <w:p w14:paraId="511C958E" w14:textId="77777777" w:rsidR="00DF4964" w:rsidRDefault="00DF4964" w:rsidP="00DF4964">
      <w:pPr>
        <w:pStyle w:val="Numberedpara"/>
      </w:pPr>
      <w:r>
        <w:rPr>
          <w:b/>
        </w:rPr>
        <w:t xml:space="preserve"> </w:t>
      </w:r>
      <w:r w:rsidRPr="00DF4964">
        <w:rPr>
          <w:b/>
        </w:rPr>
        <w:t>MoF will incorporate the detailed anti-corruption</w:t>
      </w:r>
      <w:r>
        <w:t>, currently under Cabinet consideration, into the plan at the mid-year assessment.</w:t>
      </w:r>
    </w:p>
    <w:p w14:paraId="219B7250" w14:textId="637D185D" w:rsidR="00DF4964" w:rsidRPr="005928C7" w:rsidRDefault="00DF4964" w:rsidP="00DF4964">
      <w:pPr>
        <w:pStyle w:val="Numberedpara"/>
        <w:numPr>
          <w:ilvl w:val="0"/>
          <w:numId w:val="0"/>
        </w:numPr>
        <w:ind w:left="360"/>
      </w:pPr>
    </w:p>
    <w:p w14:paraId="6AD09FA6" w14:textId="77397A15" w:rsidR="00D91741" w:rsidRDefault="00D91741" w:rsidP="00E83C0A"/>
    <w:p w14:paraId="730D61F3" w14:textId="49B8196B" w:rsidR="00641577" w:rsidRDefault="00641577" w:rsidP="00E83C0A"/>
    <w:p w14:paraId="36B3F95C" w14:textId="073F43E0" w:rsidR="00641577" w:rsidRDefault="00641577" w:rsidP="00E83C0A"/>
    <w:p w14:paraId="211B97E2" w14:textId="77777777" w:rsidR="00641577" w:rsidRDefault="00641577" w:rsidP="00E83C0A"/>
    <w:p w14:paraId="1CA8EF49" w14:textId="2EA4C719" w:rsidR="00E83C0A" w:rsidRDefault="00E83C0A" w:rsidP="00DE147D">
      <w:pPr>
        <w:pStyle w:val="TableHeader1"/>
      </w:pPr>
      <w:bookmarkStart w:id="21" w:name="_Toc457162634"/>
      <w:r>
        <w:t>Flagship Reforms of the Teams</w:t>
      </w:r>
      <w:bookmarkEnd w:id="21"/>
    </w:p>
    <w:tbl>
      <w:tblPr>
        <w:tblW w:w="5000" w:type="pct"/>
        <w:tblLook w:val="04A0" w:firstRow="1" w:lastRow="0" w:firstColumn="1" w:lastColumn="0" w:noHBand="0" w:noVBand="1"/>
      </w:tblPr>
      <w:tblGrid>
        <w:gridCol w:w="2510"/>
        <w:gridCol w:w="6500"/>
      </w:tblGrid>
      <w:tr w:rsidR="00117166" w:rsidRPr="00E83C0A" w14:paraId="2C4AE115" w14:textId="77777777" w:rsidTr="00F069AA">
        <w:trPr>
          <w:trHeight w:val="20"/>
          <w:tblHeader/>
        </w:trPr>
        <w:tc>
          <w:tcPr>
            <w:tcW w:w="1393" w:type="pct"/>
            <w:tcBorders>
              <w:top w:val="single" w:sz="4" w:space="0" w:color="auto"/>
              <w:left w:val="single" w:sz="4" w:space="0" w:color="auto"/>
              <w:bottom w:val="single" w:sz="4" w:space="0" w:color="auto"/>
              <w:right w:val="single" w:sz="4" w:space="0" w:color="auto"/>
            </w:tcBorders>
            <w:shd w:val="clear" w:color="auto" w:fill="75BB6E" w:themeFill="accent4"/>
            <w:vAlign w:val="center"/>
            <w:hideMark/>
          </w:tcPr>
          <w:p w14:paraId="22F02DE0"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DG</w:t>
            </w:r>
          </w:p>
        </w:tc>
        <w:tc>
          <w:tcPr>
            <w:tcW w:w="3607" w:type="pct"/>
            <w:tcBorders>
              <w:top w:val="single" w:sz="4" w:space="0" w:color="auto"/>
              <w:left w:val="nil"/>
              <w:bottom w:val="single" w:sz="4" w:space="0" w:color="auto"/>
              <w:right w:val="single" w:sz="4" w:space="0" w:color="auto"/>
            </w:tcBorders>
            <w:shd w:val="clear" w:color="auto" w:fill="75BB6E" w:themeFill="accent4"/>
            <w:vAlign w:val="center"/>
            <w:hideMark/>
          </w:tcPr>
          <w:p w14:paraId="731CA09F"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Flagship Reforms</w:t>
            </w:r>
          </w:p>
        </w:tc>
      </w:tr>
      <w:tr w:rsidR="00ED3822" w:rsidRPr="00E83C0A" w14:paraId="1A78ED51" w14:textId="77777777" w:rsidTr="00F069AA">
        <w:trPr>
          <w:trHeight w:val="20"/>
        </w:trPr>
        <w:tc>
          <w:tcPr>
            <w:tcW w:w="1393" w:type="pct"/>
            <w:vMerge w:val="restart"/>
            <w:tcBorders>
              <w:top w:val="nil"/>
              <w:left w:val="single" w:sz="4" w:space="0" w:color="auto"/>
              <w:right w:val="single" w:sz="4" w:space="0" w:color="auto"/>
            </w:tcBorders>
            <w:shd w:val="clear" w:color="auto" w:fill="E3F1E1" w:themeFill="accent4" w:themeFillTint="33"/>
            <w:vAlign w:val="center"/>
          </w:tcPr>
          <w:p w14:paraId="66BE39E4" w14:textId="5A51D17C" w:rsidR="00ED3822" w:rsidRPr="00E83C0A" w:rsidRDefault="00ED3822"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1.0 Office of the Minister</w:t>
            </w:r>
          </w:p>
        </w:tc>
        <w:tc>
          <w:tcPr>
            <w:tcW w:w="3607" w:type="pct"/>
            <w:tcBorders>
              <w:top w:val="single" w:sz="4" w:space="0" w:color="auto"/>
              <w:left w:val="nil"/>
              <w:right w:val="single" w:sz="4" w:space="0" w:color="auto"/>
            </w:tcBorders>
            <w:shd w:val="clear" w:color="auto" w:fill="FFFFFF" w:themeFill="background1"/>
            <w:vAlign w:val="center"/>
          </w:tcPr>
          <w:p w14:paraId="2ABFC86E" w14:textId="65DB00D3" w:rsidR="00ED3822" w:rsidRPr="00E83C0A" w:rsidRDefault="00ED3822" w:rsidP="00E83C0A">
            <w:pPr>
              <w:rPr>
                <w:rFonts w:ascii="Calibri" w:eastAsia="Times New Roman" w:hAnsi="Calibri"/>
                <w:color w:val="000000"/>
                <w:sz w:val="22"/>
                <w:lang w:val="en-GB" w:eastAsia="en-GB"/>
              </w:rPr>
            </w:pPr>
            <w:r w:rsidRPr="00ED3822">
              <w:rPr>
                <w:rFonts w:ascii="Calibri" w:eastAsia="Times New Roman" w:hAnsi="Calibri"/>
                <w:color w:val="000000"/>
                <w:sz w:val="22"/>
                <w:lang w:val="en-GB" w:eastAsia="en-GB"/>
              </w:rPr>
              <w:t xml:space="preserve">Delivering </w:t>
            </w:r>
            <w:r w:rsidRPr="00ED3822">
              <w:rPr>
                <w:rFonts w:ascii="Calibri" w:eastAsia="Times New Roman" w:hAnsi="Calibri"/>
                <w:b/>
                <w:color w:val="00B050"/>
                <w:sz w:val="22"/>
                <w:lang w:val="en-GB" w:eastAsia="en-GB"/>
              </w:rPr>
              <w:t>effective management through the leadership group</w:t>
            </w:r>
            <w:r w:rsidRPr="00ED3822">
              <w:rPr>
                <w:rFonts w:ascii="Calibri" w:eastAsia="Times New Roman" w:hAnsi="Calibri"/>
                <w:color w:val="00B050"/>
                <w:sz w:val="22"/>
                <w:lang w:val="en-GB" w:eastAsia="en-GB"/>
              </w:rPr>
              <w:t xml:space="preserve"> </w:t>
            </w:r>
          </w:p>
        </w:tc>
      </w:tr>
      <w:tr w:rsidR="00ED3822" w:rsidRPr="00E83C0A" w14:paraId="19F96E38" w14:textId="77777777" w:rsidTr="00F069AA">
        <w:trPr>
          <w:trHeight w:val="20"/>
        </w:trPr>
        <w:tc>
          <w:tcPr>
            <w:tcW w:w="1393" w:type="pct"/>
            <w:vMerge/>
            <w:tcBorders>
              <w:left w:val="single" w:sz="4" w:space="0" w:color="auto"/>
              <w:right w:val="single" w:sz="4" w:space="0" w:color="auto"/>
            </w:tcBorders>
            <w:shd w:val="clear" w:color="auto" w:fill="E3F1E1" w:themeFill="accent4" w:themeFillTint="33"/>
            <w:vAlign w:val="center"/>
            <w:hideMark/>
          </w:tcPr>
          <w:p w14:paraId="4FA9BD11" w14:textId="61004005" w:rsidR="00ED3822" w:rsidRPr="00E83C0A" w:rsidRDefault="00ED3822" w:rsidP="00E83C0A">
            <w:pPr>
              <w:rPr>
                <w:rFonts w:ascii="Calibri" w:eastAsia="Times New Roman" w:hAnsi="Calibri"/>
                <w:b/>
                <w:bCs/>
                <w:color w:val="000000"/>
                <w:sz w:val="22"/>
                <w:lang w:val="en-GB" w:eastAsia="en-GB"/>
              </w:rPr>
            </w:pPr>
          </w:p>
        </w:tc>
        <w:tc>
          <w:tcPr>
            <w:tcW w:w="3607" w:type="pct"/>
            <w:tcBorders>
              <w:top w:val="nil"/>
              <w:left w:val="nil"/>
              <w:right w:val="single" w:sz="4" w:space="0" w:color="auto"/>
            </w:tcBorders>
            <w:shd w:val="clear" w:color="auto" w:fill="FFFFFF" w:themeFill="background1"/>
            <w:vAlign w:val="center"/>
            <w:hideMark/>
          </w:tcPr>
          <w:p w14:paraId="3DC7183B" w14:textId="77777777" w:rsidR="00ED3822" w:rsidRPr="00E83C0A" w:rsidRDefault="00ED3822"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Establishment of a </w:t>
            </w:r>
            <w:r w:rsidRPr="00E83C0A">
              <w:rPr>
                <w:rFonts w:ascii="Calibri" w:eastAsia="Times New Roman" w:hAnsi="Calibri"/>
                <w:b/>
                <w:bCs/>
                <w:color w:val="00B050"/>
                <w:sz w:val="22"/>
                <w:lang w:val="en-GB" w:eastAsia="en-GB"/>
              </w:rPr>
              <w:t>Legal Board</w:t>
            </w:r>
          </w:p>
        </w:tc>
      </w:tr>
      <w:tr w:rsidR="00ED3822" w:rsidRPr="00E83C0A" w14:paraId="18A9A75A" w14:textId="77777777" w:rsidTr="00F069AA">
        <w:trPr>
          <w:trHeight w:val="20"/>
        </w:trPr>
        <w:tc>
          <w:tcPr>
            <w:tcW w:w="1393" w:type="pct"/>
            <w:vMerge/>
            <w:tcBorders>
              <w:left w:val="single" w:sz="4" w:space="0" w:color="auto"/>
              <w:bottom w:val="single" w:sz="4" w:space="0" w:color="auto"/>
              <w:right w:val="single" w:sz="4" w:space="0" w:color="auto"/>
            </w:tcBorders>
            <w:shd w:val="clear" w:color="auto" w:fill="E3F1E1" w:themeFill="accent4" w:themeFillTint="33"/>
            <w:vAlign w:val="center"/>
            <w:hideMark/>
          </w:tcPr>
          <w:p w14:paraId="11062B92" w14:textId="77777777" w:rsidR="00ED3822" w:rsidRPr="00E83C0A" w:rsidRDefault="00ED3822" w:rsidP="00E83C0A">
            <w:pPr>
              <w:rPr>
                <w:rFonts w:ascii="Calibri" w:eastAsia="Times New Roman" w:hAnsi="Calibri"/>
                <w:b/>
                <w:bCs/>
                <w:color w:val="000000"/>
                <w:sz w:val="22"/>
                <w:lang w:val="en-GB" w:eastAsia="en-GB"/>
              </w:rPr>
            </w:pP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34C22F9F" w14:textId="08A197F3" w:rsidR="00ED3822" w:rsidRPr="00E83C0A" w:rsidRDefault="00ED3822"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Setting up an </w:t>
            </w:r>
            <w:r w:rsidRPr="00E83C0A">
              <w:rPr>
                <w:rFonts w:ascii="Calibri" w:eastAsia="Times New Roman" w:hAnsi="Calibri"/>
                <w:b/>
                <w:bCs/>
                <w:color w:val="000000"/>
                <w:sz w:val="22"/>
                <w:lang w:val="en-GB" w:eastAsia="en-GB"/>
              </w:rPr>
              <w:t xml:space="preserve">electronic archiving </w:t>
            </w:r>
            <w:r w:rsidRPr="00E83C0A">
              <w:rPr>
                <w:rFonts w:ascii="Calibri" w:eastAsia="Times New Roman" w:hAnsi="Calibri"/>
                <w:color w:val="000000"/>
                <w:sz w:val="22"/>
                <w:lang w:val="en-GB" w:eastAsia="en-GB"/>
              </w:rPr>
              <w:t>system</w:t>
            </w:r>
            <w:r w:rsidR="00EC23C1">
              <w:rPr>
                <w:rFonts w:ascii="Calibri" w:eastAsia="Times New Roman" w:hAnsi="Calibri"/>
                <w:color w:val="000000"/>
                <w:sz w:val="22"/>
                <w:lang w:val="en-GB" w:eastAsia="en-GB"/>
              </w:rPr>
              <w:t xml:space="preserve"> to support management</w:t>
            </w:r>
          </w:p>
        </w:tc>
      </w:tr>
      <w:tr w:rsidR="00117166" w:rsidRPr="00E83C0A" w14:paraId="0F6EBA47" w14:textId="77777777" w:rsidTr="00F069AA">
        <w:trPr>
          <w:trHeight w:val="20"/>
        </w:trPr>
        <w:tc>
          <w:tcPr>
            <w:tcW w:w="1393" w:type="pct"/>
            <w:vMerge w:val="restar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3F85F133"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2.0 Customs Department</w:t>
            </w:r>
          </w:p>
        </w:tc>
        <w:tc>
          <w:tcPr>
            <w:tcW w:w="3607" w:type="pct"/>
            <w:tcBorders>
              <w:top w:val="single" w:sz="4" w:space="0" w:color="auto"/>
              <w:left w:val="nil"/>
              <w:right w:val="single" w:sz="4" w:space="0" w:color="auto"/>
            </w:tcBorders>
            <w:shd w:val="clear" w:color="auto" w:fill="FFFFFF" w:themeFill="background1"/>
            <w:vAlign w:val="center"/>
            <w:hideMark/>
          </w:tcPr>
          <w:p w14:paraId="108312A3"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B050"/>
                <w:sz w:val="22"/>
                <w:lang w:val="en-GB" w:eastAsia="en-GB"/>
              </w:rPr>
              <w:t xml:space="preserve">Comprehensive program </w:t>
            </w:r>
            <w:r w:rsidRPr="00E83C0A">
              <w:rPr>
                <w:rFonts w:ascii="Calibri" w:eastAsia="Times New Roman" w:hAnsi="Calibri"/>
                <w:color w:val="000000"/>
                <w:sz w:val="22"/>
                <w:lang w:val="en-GB" w:eastAsia="en-GB"/>
              </w:rPr>
              <w:t>of legislative, system and administrative reforms.</w:t>
            </w:r>
          </w:p>
        </w:tc>
      </w:tr>
      <w:tr w:rsidR="00117166" w:rsidRPr="00E83C0A" w14:paraId="4295033C" w14:textId="77777777" w:rsidTr="00F069AA">
        <w:trPr>
          <w:trHeight w:val="20"/>
        </w:trPr>
        <w:tc>
          <w:tcPr>
            <w:tcW w:w="1393" w:type="pct"/>
            <w:vMerge/>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25ECFF13" w14:textId="77777777" w:rsidR="00E83C0A" w:rsidRPr="00E83C0A" w:rsidRDefault="00E83C0A" w:rsidP="00E83C0A">
            <w:pPr>
              <w:rPr>
                <w:rFonts w:ascii="Calibri" w:eastAsia="Times New Roman" w:hAnsi="Calibri"/>
                <w:b/>
                <w:bCs/>
                <w:color w:val="000000"/>
                <w:sz w:val="22"/>
                <w:lang w:val="en-GB" w:eastAsia="en-GB"/>
              </w:rPr>
            </w:pP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1002481C"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Targeting key corruption areas including valuations, clearance times, </w:t>
            </w:r>
            <w:r w:rsidRPr="00E83C0A">
              <w:rPr>
                <w:rFonts w:ascii="Calibri" w:eastAsia="Times New Roman" w:hAnsi="Calibri"/>
                <w:b/>
                <w:bCs/>
                <w:color w:val="00B050"/>
                <w:sz w:val="22"/>
                <w:lang w:val="en-GB" w:eastAsia="en-GB"/>
              </w:rPr>
              <w:t>reconciliation</w:t>
            </w:r>
            <w:r w:rsidRPr="00E83C0A">
              <w:rPr>
                <w:rFonts w:ascii="Calibri" w:eastAsia="Times New Roman" w:hAnsi="Calibri"/>
                <w:color w:val="000000"/>
                <w:sz w:val="22"/>
                <w:lang w:val="en-GB" w:eastAsia="en-GB"/>
              </w:rPr>
              <w:t xml:space="preserve"> of assessments, payments and transfers, and </w:t>
            </w:r>
            <w:r w:rsidRPr="00E83C0A">
              <w:rPr>
                <w:rFonts w:ascii="Calibri" w:eastAsia="Times New Roman" w:hAnsi="Calibri"/>
                <w:b/>
                <w:bCs/>
                <w:color w:val="00B050"/>
                <w:sz w:val="22"/>
                <w:lang w:val="en-GB" w:eastAsia="en-GB"/>
              </w:rPr>
              <w:t xml:space="preserve">customs debt collection </w:t>
            </w:r>
            <w:r w:rsidRPr="00E83C0A">
              <w:rPr>
                <w:rFonts w:ascii="Calibri" w:eastAsia="Times New Roman" w:hAnsi="Calibri"/>
                <w:color w:val="000000"/>
                <w:sz w:val="22"/>
                <w:lang w:val="en-GB" w:eastAsia="en-GB"/>
              </w:rPr>
              <w:t>performance</w:t>
            </w:r>
          </w:p>
        </w:tc>
      </w:tr>
      <w:tr w:rsidR="00117166" w:rsidRPr="00E83C0A" w14:paraId="5322A3A8" w14:textId="77777777" w:rsidTr="00F069AA">
        <w:trPr>
          <w:trHeight w:val="20"/>
        </w:trPr>
        <w:tc>
          <w:tcPr>
            <w:tcW w:w="1393" w:type="pct"/>
            <w:vMerge w:val="restar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69A9DCF3"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 xml:space="preserve">3.0 Revenues Department </w:t>
            </w:r>
          </w:p>
        </w:tc>
        <w:tc>
          <w:tcPr>
            <w:tcW w:w="3607" w:type="pct"/>
            <w:tcBorders>
              <w:top w:val="single" w:sz="4" w:space="0" w:color="auto"/>
              <w:left w:val="nil"/>
              <w:right w:val="single" w:sz="4" w:space="0" w:color="auto"/>
            </w:tcBorders>
            <w:shd w:val="clear" w:color="auto" w:fill="FFFFFF" w:themeFill="background1"/>
            <w:vAlign w:val="center"/>
            <w:hideMark/>
          </w:tcPr>
          <w:p w14:paraId="348E5369" w14:textId="1B84F9B8"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B050"/>
                <w:sz w:val="22"/>
                <w:lang w:val="en-GB" w:eastAsia="en-GB"/>
              </w:rPr>
              <w:t xml:space="preserve">Comprehensive program </w:t>
            </w:r>
            <w:r w:rsidRPr="00E83C0A">
              <w:rPr>
                <w:rFonts w:ascii="Calibri" w:eastAsia="Times New Roman" w:hAnsi="Calibri"/>
                <w:color w:val="000000"/>
                <w:sz w:val="22"/>
                <w:lang w:val="en-GB" w:eastAsia="en-GB"/>
              </w:rPr>
              <w:t>of legislative, system and administrative reforms</w:t>
            </w:r>
            <w:r w:rsidR="000534FD">
              <w:rPr>
                <w:rFonts w:ascii="Calibri" w:eastAsia="Times New Roman" w:hAnsi="Calibri"/>
                <w:color w:val="000000"/>
                <w:sz w:val="22"/>
                <w:lang w:val="en-GB" w:eastAsia="en-GB"/>
              </w:rPr>
              <w:t xml:space="preserve"> including expanding the reach of the tax system to the provinces. </w:t>
            </w:r>
          </w:p>
        </w:tc>
      </w:tr>
      <w:tr w:rsidR="00117166" w:rsidRPr="00E83C0A" w14:paraId="5271E810" w14:textId="77777777" w:rsidTr="00F069AA">
        <w:trPr>
          <w:trHeight w:val="20"/>
        </w:trPr>
        <w:tc>
          <w:tcPr>
            <w:tcW w:w="1393" w:type="pct"/>
            <w:vMerge/>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72ED4CEE" w14:textId="77777777" w:rsidR="00E83C0A" w:rsidRPr="00E83C0A" w:rsidRDefault="00E83C0A" w:rsidP="00E83C0A">
            <w:pPr>
              <w:rPr>
                <w:rFonts w:ascii="Calibri" w:eastAsia="Times New Roman" w:hAnsi="Calibri"/>
                <w:b/>
                <w:bCs/>
                <w:color w:val="000000"/>
                <w:sz w:val="22"/>
                <w:lang w:val="en-GB" w:eastAsia="en-GB"/>
              </w:rPr>
            </w:pPr>
          </w:p>
        </w:tc>
        <w:tc>
          <w:tcPr>
            <w:tcW w:w="3607" w:type="pct"/>
            <w:tcBorders>
              <w:top w:val="nil"/>
              <w:left w:val="nil"/>
              <w:right w:val="single" w:sz="4" w:space="0" w:color="auto"/>
            </w:tcBorders>
            <w:shd w:val="clear" w:color="auto" w:fill="FFFFFF" w:themeFill="background1"/>
            <w:vAlign w:val="center"/>
            <w:hideMark/>
          </w:tcPr>
          <w:p w14:paraId="14AD2BB1" w14:textId="3B3AC36B"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Targeting key corruption areas including </w:t>
            </w:r>
            <w:r w:rsidRPr="00E83C0A">
              <w:rPr>
                <w:rFonts w:ascii="Calibri" w:eastAsia="Times New Roman" w:hAnsi="Calibri"/>
                <w:b/>
                <w:bCs/>
                <w:color w:val="00B050"/>
                <w:sz w:val="22"/>
                <w:lang w:val="en-GB" w:eastAsia="en-GB"/>
              </w:rPr>
              <w:t>reconciliation</w:t>
            </w:r>
            <w:r w:rsidRPr="00E83C0A">
              <w:rPr>
                <w:rFonts w:ascii="Calibri" w:eastAsia="Times New Roman" w:hAnsi="Calibri"/>
                <w:color w:val="000000"/>
                <w:sz w:val="22"/>
                <w:lang w:val="en-GB" w:eastAsia="en-GB"/>
              </w:rPr>
              <w:t xml:space="preserve"> of tax assessmen</w:t>
            </w:r>
            <w:r w:rsidR="00E67775">
              <w:rPr>
                <w:rFonts w:ascii="Calibri" w:eastAsia="Times New Roman" w:hAnsi="Calibri"/>
                <w:color w:val="000000"/>
                <w:sz w:val="22"/>
                <w:lang w:val="en-GB" w:eastAsia="en-GB"/>
              </w:rPr>
              <w:t>ts, payments and transfers, and</w:t>
            </w:r>
            <w:r w:rsidRPr="00E83C0A">
              <w:rPr>
                <w:rFonts w:ascii="Calibri" w:eastAsia="Times New Roman" w:hAnsi="Calibri"/>
                <w:b/>
                <w:bCs/>
                <w:color w:val="00B050"/>
                <w:sz w:val="22"/>
                <w:lang w:val="en-GB" w:eastAsia="en-GB"/>
              </w:rPr>
              <w:t xml:space="preserve"> debt collection</w:t>
            </w:r>
            <w:r w:rsidRPr="00E83C0A">
              <w:rPr>
                <w:rFonts w:ascii="Calibri" w:eastAsia="Times New Roman" w:hAnsi="Calibri"/>
                <w:b/>
                <w:bCs/>
                <w:color w:val="000000"/>
                <w:sz w:val="22"/>
                <w:lang w:val="en-GB" w:eastAsia="en-GB"/>
              </w:rPr>
              <w:t xml:space="preserve"> </w:t>
            </w:r>
            <w:r w:rsidRPr="00E83C0A">
              <w:rPr>
                <w:rFonts w:ascii="Calibri" w:eastAsia="Times New Roman" w:hAnsi="Calibri"/>
                <w:color w:val="000000"/>
                <w:sz w:val="22"/>
                <w:lang w:val="en-GB" w:eastAsia="en-GB"/>
              </w:rPr>
              <w:t>performance.</w:t>
            </w:r>
          </w:p>
        </w:tc>
      </w:tr>
      <w:tr w:rsidR="00117166" w:rsidRPr="00E83C0A" w14:paraId="0496D8EE" w14:textId="77777777" w:rsidTr="00525C0C">
        <w:trPr>
          <w:trHeight w:val="20"/>
        </w:trPr>
        <w:tc>
          <w:tcPr>
            <w:tcW w:w="1393" w:type="pct"/>
            <w:vMerge/>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76E08194" w14:textId="77777777" w:rsidR="00E83C0A" w:rsidRPr="00E83C0A" w:rsidRDefault="00E83C0A" w:rsidP="00E83C0A">
            <w:pPr>
              <w:rPr>
                <w:rFonts w:ascii="Calibri" w:eastAsia="Times New Roman" w:hAnsi="Calibri"/>
                <w:b/>
                <w:bCs/>
                <w:color w:val="000000"/>
                <w:sz w:val="22"/>
                <w:lang w:val="en-GB" w:eastAsia="en-GB"/>
              </w:rPr>
            </w:pP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1DD80DD1"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b/>
                <w:bCs/>
                <w:color w:val="000000"/>
                <w:sz w:val="22"/>
                <w:lang w:val="en-GB" w:eastAsia="en-GB"/>
              </w:rPr>
              <w:t>Other key work program</w:t>
            </w:r>
            <w:r w:rsidRPr="00E83C0A">
              <w:rPr>
                <w:rFonts w:ascii="Calibri" w:eastAsia="Times New Roman" w:hAnsi="Calibri"/>
                <w:color w:val="000000"/>
                <w:sz w:val="22"/>
                <w:lang w:val="en-GB" w:eastAsia="en-GB"/>
              </w:rPr>
              <w:t>s: i) IT/Sigtas development; ii) integration of an anti-corruption strategy including developing systems to mitigate risk of inappropriate relationships between tax assessor and tax payer; iii) developing a fair appeals system; iv) tax legislation strengthening program; v) developing options for broadening of the tax base - Vat is back.</w:t>
            </w:r>
          </w:p>
        </w:tc>
      </w:tr>
      <w:tr w:rsidR="00117166" w:rsidRPr="00E83C0A" w14:paraId="044B5365"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2A0CD94F"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4.0 Treasury Department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49F9840A"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Introduction of </w:t>
            </w:r>
            <w:r w:rsidRPr="00E83C0A">
              <w:rPr>
                <w:rFonts w:ascii="Calibri" w:eastAsia="Times New Roman" w:hAnsi="Calibri"/>
                <w:b/>
                <w:bCs/>
                <w:color w:val="00B050"/>
                <w:sz w:val="22"/>
                <w:lang w:val="en-GB" w:eastAsia="en-GB"/>
              </w:rPr>
              <w:t xml:space="preserve">web-based AFMIS with much more powerful functions </w:t>
            </w:r>
            <w:r w:rsidRPr="00E83C0A">
              <w:rPr>
                <w:rFonts w:ascii="Calibri" w:eastAsia="Times New Roman" w:hAnsi="Calibri"/>
                <w:color w:val="000000"/>
                <w:sz w:val="22"/>
                <w:lang w:val="en-GB" w:eastAsia="en-GB"/>
              </w:rPr>
              <w:t xml:space="preserve">- improved reach, purchasing, commitment controls and contract management systems. Zero balance sweeping. </w:t>
            </w:r>
            <w:r w:rsidRPr="00E83C0A">
              <w:rPr>
                <w:rFonts w:ascii="Calibri" w:eastAsia="Times New Roman" w:hAnsi="Calibri"/>
                <w:b/>
                <w:bCs/>
                <w:color w:val="00B050"/>
                <w:sz w:val="22"/>
                <w:lang w:val="en-GB" w:eastAsia="en-GB"/>
              </w:rPr>
              <w:t>Sub-Accounts</w:t>
            </w:r>
            <w:r w:rsidRPr="00E83C0A">
              <w:rPr>
                <w:rFonts w:ascii="Calibri" w:eastAsia="Times New Roman" w:hAnsi="Calibri"/>
                <w:color w:val="000000"/>
                <w:sz w:val="22"/>
                <w:lang w:val="en-GB" w:eastAsia="en-GB"/>
              </w:rPr>
              <w:t xml:space="preserve"> trials. Stronger payroll controls and linkages with HR systems</w:t>
            </w:r>
          </w:p>
        </w:tc>
      </w:tr>
      <w:tr w:rsidR="00117166" w:rsidRPr="00E83C0A" w14:paraId="4B7406FB"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58CB0269"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 xml:space="preserve">5.0 Budget Department </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7F28633D" w14:textId="77777777" w:rsidR="00E83C0A" w:rsidRPr="00E83C0A" w:rsidRDefault="00E83C0A" w:rsidP="00E83C0A">
            <w:pPr>
              <w:rPr>
                <w:rFonts w:ascii="Calibri" w:eastAsia="Times New Roman" w:hAnsi="Calibri"/>
                <w:b/>
                <w:bCs/>
                <w:color w:val="00B050"/>
                <w:sz w:val="22"/>
                <w:lang w:val="en-GB" w:eastAsia="en-GB"/>
              </w:rPr>
            </w:pPr>
            <w:r w:rsidRPr="00E83C0A">
              <w:rPr>
                <w:rFonts w:ascii="Calibri" w:eastAsia="Times New Roman" w:hAnsi="Calibri"/>
                <w:b/>
                <w:bCs/>
                <w:color w:val="00B050"/>
                <w:sz w:val="22"/>
                <w:lang w:val="en-GB" w:eastAsia="en-GB"/>
              </w:rPr>
              <w:t xml:space="preserve">Rolling Forward Estimates </w:t>
            </w:r>
            <w:r w:rsidRPr="00E83C0A">
              <w:rPr>
                <w:rFonts w:ascii="Calibri" w:eastAsia="Times New Roman" w:hAnsi="Calibri"/>
                <w:color w:val="000000"/>
                <w:sz w:val="22"/>
                <w:lang w:val="en-GB" w:eastAsia="en-GB"/>
              </w:rPr>
              <w:t xml:space="preserve">for Policy Linked Budgets, Single Currency, Integrated Budget, </w:t>
            </w:r>
            <w:r w:rsidRPr="00E83C0A">
              <w:rPr>
                <w:rFonts w:ascii="Calibri" w:eastAsia="Times New Roman" w:hAnsi="Calibri"/>
                <w:b/>
                <w:bCs/>
                <w:color w:val="000000"/>
                <w:sz w:val="22"/>
                <w:lang w:val="en-GB" w:eastAsia="en-GB"/>
              </w:rPr>
              <w:t xml:space="preserve">Piloting new systems </w:t>
            </w:r>
            <w:r w:rsidRPr="00E83C0A">
              <w:rPr>
                <w:rFonts w:ascii="Calibri" w:eastAsia="Times New Roman" w:hAnsi="Calibri"/>
                <w:b/>
                <w:bCs/>
                <w:color w:val="00B050"/>
                <w:sz w:val="22"/>
                <w:lang w:val="en-GB" w:eastAsia="en-GB"/>
              </w:rPr>
              <w:t xml:space="preserve">commitment control </w:t>
            </w:r>
            <w:r w:rsidRPr="00E83C0A">
              <w:rPr>
                <w:rFonts w:ascii="Calibri" w:eastAsia="Times New Roman" w:hAnsi="Calibri"/>
                <w:b/>
                <w:bCs/>
                <w:color w:val="000000"/>
                <w:sz w:val="22"/>
                <w:lang w:val="en-GB" w:eastAsia="en-GB"/>
              </w:rPr>
              <w:t xml:space="preserve">systems within MoF </w:t>
            </w:r>
            <w:r w:rsidRPr="00E83C0A">
              <w:rPr>
                <w:rFonts w:ascii="Calibri" w:eastAsia="Times New Roman" w:hAnsi="Calibri"/>
                <w:color w:val="000000"/>
                <w:sz w:val="22"/>
                <w:lang w:val="en-GB" w:eastAsia="en-GB"/>
              </w:rPr>
              <w:t xml:space="preserve">(allotments). Program budgeting s.t. setting these pre-conditions. </w:t>
            </w:r>
          </w:p>
        </w:tc>
      </w:tr>
      <w:tr w:rsidR="00117166" w:rsidRPr="00E83C0A" w14:paraId="5BAA9F27" w14:textId="77777777" w:rsidTr="00525C0C">
        <w:trPr>
          <w:trHeight w:val="20"/>
        </w:trPr>
        <w:tc>
          <w:tcPr>
            <w:tcW w:w="1393" w:type="pct"/>
            <w:vMerge w:val="restar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3D3CB3B6"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6.0 Admin Department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5CC70F81"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Work program to deliver </w:t>
            </w:r>
            <w:r w:rsidRPr="00E83C0A">
              <w:rPr>
                <w:rFonts w:ascii="Calibri" w:eastAsia="Times New Roman" w:hAnsi="Calibri"/>
                <w:b/>
                <w:bCs/>
                <w:color w:val="00B050"/>
                <w:sz w:val="22"/>
                <w:lang w:val="en-GB" w:eastAsia="en-GB"/>
              </w:rPr>
              <w:t>better budgeting, accounting, procurement and IT services</w:t>
            </w:r>
            <w:r w:rsidRPr="00E83C0A">
              <w:rPr>
                <w:rFonts w:ascii="Calibri" w:eastAsia="Times New Roman" w:hAnsi="Calibri"/>
                <w:color w:val="000000"/>
                <w:sz w:val="22"/>
                <w:lang w:val="en-GB" w:eastAsia="en-GB"/>
              </w:rPr>
              <w:t xml:space="preserve"> to MoF.</w:t>
            </w:r>
          </w:p>
        </w:tc>
      </w:tr>
      <w:tr w:rsidR="00117166" w:rsidRPr="00E83C0A" w14:paraId="36105D39" w14:textId="77777777" w:rsidTr="00525C0C">
        <w:trPr>
          <w:trHeight w:val="20"/>
        </w:trPr>
        <w:tc>
          <w:tcPr>
            <w:tcW w:w="1393" w:type="pct"/>
            <w:vMerge/>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3BA88C76" w14:textId="77777777" w:rsidR="00E83C0A" w:rsidRPr="00E83C0A" w:rsidRDefault="00E83C0A" w:rsidP="00E83C0A">
            <w:pPr>
              <w:rPr>
                <w:rFonts w:ascii="Calibri" w:eastAsia="Times New Roman" w:hAnsi="Calibri"/>
                <w:b/>
                <w:bCs/>
                <w:color w:val="000000"/>
                <w:sz w:val="22"/>
                <w:lang w:val="en-GB" w:eastAsia="en-GB"/>
              </w:rPr>
            </w:pP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4C2156EB" w14:textId="77777777" w:rsidR="00E83C0A" w:rsidRPr="00E83C0A" w:rsidRDefault="00E83C0A" w:rsidP="00E83C0A">
            <w:pPr>
              <w:rPr>
                <w:rFonts w:ascii="Calibri" w:eastAsia="Times New Roman" w:hAnsi="Calibri"/>
                <w:b/>
                <w:bCs/>
                <w:color w:val="00B050"/>
                <w:sz w:val="22"/>
                <w:lang w:val="en-GB" w:eastAsia="en-GB"/>
              </w:rPr>
            </w:pPr>
            <w:r w:rsidRPr="00E83C0A">
              <w:rPr>
                <w:rFonts w:ascii="Calibri" w:eastAsia="Times New Roman" w:hAnsi="Calibri"/>
                <w:b/>
                <w:bCs/>
                <w:color w:val="00B050"/>
                <w:sz w:val="22"/>
                <w:lang w:val="en-GB" w:eastAsia="en-GB"/>
              </w:rPr>
              <w:t xml:space="preserve">DG level budgets </w:t>
            </w:r>
            <w:r w:rsidRPr="00E83C0A">
              <w:rPr>
                <w:rFonts w:ascii="Calibri" w:eastAsia="Times New Roman" w:hAnsi="Calibri"/>
                <w:b/>
                <w:bCs/>
                <w:color w:val="000000"/>
                <w:sz w:val="22"/>
                <w:lang w:val="en-GB" w:eastAsia="en-GB"/>
              </w:rPr>
              <w:t xml:space="preserve">in 2017. </w:t>
            </w:r>
            <w:r w:rsidRPr="00E83C0A">
              <w:rPr>
                <w:rFonts w:ascii="Calibri" w:eastAsia="Times New Roman" w:hAnsi="Calibri"/>
                <w:b/>
                <w:bCs/>
                <w:color w:val="00B050"/>
                <w:sz w:val="22"/>
                <w:lang w:val="en-GB" w:eastAsia="en-GB"/>
              </w:rPr>
              <w:t>Single IT network</w:t>
            </w:r>
            <w:r w:rsidRPr="00E83C0A">
              <w:rPr>
                <w:rFonts w:ascii="Calibri" w:eastAsia="Times New Roman" w:hAnsi="Calibri"/>
                <w:color w:val="00B050"/>
                <w:sz w:val="22"/>
                <w:lang w:val="en-GB" w:eastAsia="en-GB"/>
              </w:rPr>
              <w:t xml:space="preserve"> </w:t>
            </w:r>
            <w:r w:rsidRPr="00E83C0A">
              <w:rPr>
                <w:rFonts w:ascii="Calibri" w:eastAsia="Times New Roman" w:hAnsi="Calibri"/>
                <w:color w:val="000000"/>
                <w:sz w:val="22"/>
                <w:lang w:val="en-GB" w:eastAsia="en-GB"/>
              </w:rPr>
              <w:t>and website, and secure email.</w:t>
            </w:r>
          </w:p>
        </w:tc>
      </w:tr>
      <w:tr w:rsidR="00117166" w:rsidRPr="00E83C0A" w14:paraId="4AFD0167"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3CC105C9"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 xml:space="preserve">7.0 SOE Department </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5407D180"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Will be assessing </w:t>
            </w:r>
            <w:r w:rsidRPr="00E83C0A">
              <w:rPr>
                <w:rFonts w:ascii="Calibri" w:eastAsia="Times New Roman" w:hAnsi="Calibri"/>
                <w:b/>
                <w:bCs/>
                <w:color w:val="00B050"/>
                <w:sz w:val="22"/>
                <w:lang w:val="en-GB" w:eastAsia="en-GB"/>
              </w:rPr>
              <w:t xml:space="preserve">fiscal risk </w:t>
            </w:r>
            <w:r w:rsidRPr="00E83C0A">
              <w:rPr>
                <w:rFonts w:ascii="Calibri" w:eastAsia="Times New Roman" w:hAnsi="Calibri"/>
                <w:color w:val="000000"/>
                <w:sz w:val="22"/>
                <w:lang w:val="en-GB" w:eastAsia="en-GB"/>
              </w:rPr>
              <w:t xml:space="preserve">posed by SoEs and SoCs and taking on new </w:t>
            </w:r>
            <w:r w:rsidRPr="00E83C0A">
              <w:rPr>
                <w:rFonts w:ascii="Calibri" w:eastAsia="Times New Roman" w:hAnsi="Calibri"/>
                <w:b/>
                <w:bCs/>
                <w:color w:val="000000"/>
                <w:sz w:val="22"/>
                <w:lang w:val="en-GB" w:eastAsia="en-GB"/>
              </w:rPr>
              <w:t xml:space="preserve">supervision function of </w:t>
            </w:r>
            <w:r w:rsidRPr="00E83C0A">
              <w:rPr>
                <w:rFonts w:ascii="Calibri" w:eastAsia="Times New Roman" w:hAnsi="Calibri"/>
                <w:b/>
                <w:bCs/>
                <w:color w:val="00B050"/>
                <w:sz w:val="22"/>
                <w:lang w:val="en-GB" w:eastAsia="en-GB"/>
              </w:rPr>
              <w:t>state-owned Banks (fiscal risk only)</w:t>
            </w:r>
          </w:p>
        </w:tc>
      </w:tr>
      <w:tr w:rsidR="00117166" w:rsidRPr="00E83C0A" w14:paraId="4A7D6EF2"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672BA774"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8.0 Property Department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10C40195"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Solid program to continually </w:t>
            </w:r>
            <w:r w:rsidRPr="00E83C0A">
              <w:rPr>
                <w:rFonts w:ascii="Calibri" w:eastAsia="Times New Roman" w:hAnsi="Calibri"/>
                <w:b/>
                <w:bCs/>
                <w:color w:val="00B050"/>
                <w:sz w:val="22"/>
                <w:lang w:val="en-GB" w:eastAsia="en-GB"/>
              </w:rPr>
              <w:t>double revenue over three years</w:t>
            </w:r>
            <w:r w:rsidRPr="00E83C0A">
              <w:rPr>
                <w:rFonts w:ascii="Calibri" w:eastAsia="Times New Roman" w:hAnsi="Calibri"/>
                <w:color w:val="000000"/>
                <w:sz w:val="22"/>
                <w:lang w:val="en-GB" w:eastAsia="en-GB"/>
              </w:rPr>
              <w:t>. Dealing with the problems of former Banks (Agricultural, Industrial, Mortgage and Construction Banks) -</w:t>
            </w:r>
          </w:p>
        </w:tc>
      </w:tr>
      <w:tr w:rsidR="00117166" w:rsidRPr="00E83C0A" w14:paraId="381D869C"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49160E22"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9.0 Human Resources Department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6E290E7B"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Exploring </w:t>
            </w:r>
            <w:r w:rsidRPr="00E83C0A">
              <w:rPr>
                <w:rFonts w:ascii="Calibri" w:eastAsia="Times New Roman" w:hAnsi="Calibri"/>
                <w:b/>
                <w:bCs/>
                <w:color w:val="00B050"/>
                <w:sz w:val="22"/>
                <w:lang w:val="en-GB" w:eastAsia="en-GB"/>
              </w:rPr>
              <w:t>PFM competency testing</w:t>
            </w:r>
            <w:r w:rsidRPr="00E83C0A">
              <w:rPr>
                <w:rFonts w:ascii="Calibri" w:eastAsia="Times New Roman" w:hAnsi="Calibri"/>
                <w:color w:val="000000"/>
                <w:sz w:val="22"/>
                <w:lang w:val="en-GB" w:eastAsia="en-GB"/>
              </w:rPr>
              <w:t xml:space="preserve">. </w:t>
            </w:r>
            <w:r w:rsidRPr="00E83C0A">
              <w:rPr>
                <w:rFonts w:ascii="Calibri" w:eastAsia="Times New Roman" w:hAnsi="Calibri"/>
                <w:b/>
                <w:bCs/>
                <w:color w:val="000000"/>
                <w:sz w:val="22"/>
                <w:lang w:val="en-GB" w:eastAsia="en-GB"/>
              </w:rPr>
              <w:t>Merit based devolved recruitment</w:t>
            </w:r>
            <w:r w:rsidRPr="00E83C0A">
              <w:rPr>
                <w:rFonts w:ascii="Calibri" w:eastAsia="Times New Roman" w:hAnsi="Calibri"/>
                <w:color w:val="000000"/>
                <w:sz w:val="22"/>
                <w:lang w:val="en-GB" w:eastAsia="en-GB"/>
              </w:rPr>
              <w:t xml:space="preserve">. Working with Treasury to </w:t>
            </w:r>
            <w:r w:rsidRPr="00E83C0A">
              <w:rPr>
                <w:rFonts w:ascii="Calibri" w:eastAsia="Times New Roman" w:hAnsi="Calibri"/>
                <w:b/>
                <w:bCs/>
                <w:color w:val="00B050"/>
                <w:sz w:val="22"/>
                <w:lang w:val="en-GB" w:eastAsia="en-GB"/>
              </w:rPr>
              <w:t>pilot new systems for HR and Payroll controls</w:t>
            </w:r>
            <w:r w:rsidRPr="00E83C0A">
              <w:rPr>
                <w:rFonts w:ascii="Calibri" w:eastAsia="Times New Roman" w:hAnsi="Calibri"/>
                <w:b/>
                <w:bCs/>
                <w:color w:val="000000"/>
                <w:sz w:val="22"/>
                <w:lang w:val="en-GB" w:eastAsia="en-GB"/>
              </w:rPr>
              <w:t xml:space="preserve">. </w:t>
            </w:r>
          </w:p>
        </w:tc>
      </w:tr>
      <w:tr w:rsidR="00117166" w:rsidRPr="00E83C0A" w14:paraId="5213347A"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5FC1E74F"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10.0 Insurance Department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2CD3BD55"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Seeking to develop </w:t>
            </w:r>
            <w:r w:rsidRPr="00E83C0A">
              <w:rPr>
                <w:rFonts w:ascii="Calibri" w:eastAsia="Times New Roman" w:hAnsi="Calibri"/>
                <w:b/>
                <w:bCs/>
                <w:color w:val="000000"/>
                <w:sz w:val="22"/>
                <w:lang w:val="en-GB" w:eastAsia="en-GB"/>
              </w:rPr>
              <w:t>Islamic insurance and micro-insurance</w:t>
            </w:r>
          </w:p>
        </w:tc>
      </w:tr>
      <w:tr w:rsidR="00117166" w:rsidRPr="00E83C0A" w14:paraId="30463BC8"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45D11AEA"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11.0 Internal Audit Department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020260BF"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Implementation of </w:t>
            </w:r>
            <w:r w:rsidRPr="00E83C0A">
              <w:rPr>
                <w:rFonts w:ascii="Calibri" w:eastAsia="Times New Roman" w:hAnsi="Calibri"/>
                <w:b/>
                <w:bCs/>
                <w:color w:val="000000"/>
                <w:sz w:val="22"/>
                <w:lang w:val="en-GB" w:eastAsia="en-GB"/>
              </w:rPr>
              <w:t>IIA Standards</w:t>
            </w:r>
            <w:r w:rsidRPr="00E83C0A">
              <w:rPr>
                <w:rFonts w:ascii="Calibri" w:eastAsia="Times New Roman" w:hAnsi="Calibri"/>
                <w:color w:val="000000"/>
                <w:sz w:val="22"/>
                <w:lang w:val="en-GB" w:eastAsia="en-GB"/>
              </w:rPr>
              <w:t>. Risk based auditing and introduction of follow-up procedures.</w:t>
            </w:r>
          </w:p>
        </w:tc>
      </w:tr>
      <w:tr w:rsidR="00117166" w:rsidRPr="00E83C0A" w14:paraId="735BA257"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11702A93" w14:textId="6AF38CD7" w:rsidR="00E83C0A" w:rsidRPr="00E83C0A" w:rsidRDefault="00117166" w:rsidP="00E83C0A">
            <w:pPr>
              <w:rPr>
                <w:rFonts w:ascii="Calibri" w:hAnsi="Calibri"/>
                <w:b/>
                <w:bCs/>
                <w:color w:val="000000"/>
                <w:sz w:val="18"/>
                <w:szCs w:val="18"/>
                <w:lang w:eastAsia="en-GB"/>
              </w:rPr>
            </w:pPr>
            <w:r w:rsidRPr="00117166">
              <w:rPr>
                <w:rFonts w:ascii="Calibri" w:hAnsi="Calibri"/>
                <w:b/>
                <w:bCs/>
                <w:color w:val="000000"/>
                <w:sz w:val="22"/>
                <w:szCs w:val="18"/>
              </w:rPr>
              <w:t xml:space="preserve">12.0 Programs Implementation and  </w:t>
            </w:r>
            <w:r w:rsidRPr="00117166">
              <w:rPr>
                <w:rFonts w:ascii="Calibri" w:hAnsi="Calibri"/>
                <w:b/>
                <w:bCs/>
                <w:color w:val="000000"/>
                <w:sz w:val="22"/>
                <w:szCs w:val="18"/>
              </w:rPr>
              <w:lastRenderedPageBreak/>
              <w:t>Coordination General Directorate</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171DF563"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lastRenderedPageBreak/>
              <w:t>Secretariat</w:t>
            </w:r>
            <w:r w:rsidRPr="00E83C0A">
              <w:rPr>
                <w:rFonts w:ascii="Calibri" w:eastAsia="Times New Roman" w:hAnsi="Calibri"/>
                <w:color w:val="000000"/>
                <w:sz w:val="22"/>
                <w:lang w:val="en-GB" w:eastAsia="en-GB"/>
              </w:rPr>
              <w:t xml:space="preserve"> to the Development Councils - rules and procedures</w:t>
            </w:r>
          </w:p>
        </w:tc>
      </w:tr>
      <w:tr w:rsidR="00117166" w:rsidRPr="00E83C0A" w14:paraId="1E5D085D"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1D6FD978" w14:textId="1F9FF5F5" w:rsidR="00E83C0A" w:rsidRPr="00E83C0A" w:rsidRDefault="00117166" w:rsidP="00E83C0A">
            <w:pPr>
              <w:rPr>
                <w:rFonts w:ascii="Calibri" w:eastAsia="Times New Roman" w:hAnsi="Calibri"/>
                <w:b/>
                <w:bCs/>
                <w:color w:val="000000"/>
                <w:sz w:val="22"/>
                <w:lang w:val="en-GB" w:eastAsia="en-GB"/>
              </w:rPr>
            </w:pPr>
            <w:r w:rsidRPr="00117166">
              <w:rPr>
                <w:rFonts w:ascii="Calibri" w:eastAsia="Times New Roman" w:hAnsi="Calibri"/>
                <w:b/>
                <w:bCs/>
                <w:color w:val="000000"/>
                <w:sz w:val="22"/>
                <w:lang w:val="en-GB" w:eastAsia="en-GB"/>
              </w:rPr>
              <w:lastRenderedPageBreak/>
              <w:t>13.0 Monitoring, Analysis and Reporting General Directorate</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66F69FCA" w14:textId="75FA4145" w:rsidR="00E83C0A" w:rsidRPr="00E83C0A" w:rsidRDefault="00117166" w:rsidP="00E83C0A">
            <w:pPr>
              <w:rPr>
                <w:rFonts w:ascii="Calibri" w:eastAsia="Times New Roman" w:hAnsi="Calibri"/>
                <w:b/>
                <w:bCs/>
                <w:color w:val="000000"/>
                <w:sz w:val="22"/>
                <w:lang w:val="en-GB" w:eastAsia="en-GB"/>
              </w:rPr>
            </w:pPr>
            <w:r>
              <w:rPr>
                <w:rFonts w:ascii="Calibri" w:eastAsia="Times New Roman" w:hAnsi="Calibri"/>
                <w:b/>
                <w:bCs/>
                <w:color w:val="000000"/>
                <w:sz w:val="22"/>
                <w:lang w:val="en-GB" w:eastAsia="en-GB"/>
              </w:rPr>
              <w:t>M</w:t>
            </w:r>
            <w:r w:rsidR="00E83C0A" w:rsidRPr="00E83C0A">
              <w:rPr>
                <w:rFonts w:ascii="Calibri" w:eastAsia="Times New Roman" w:hAnsi="Calibri"/>
                <w:b/>
                <w:bCs/>
                <w:color w:val="000000"/>
                <w:sz w:val="22"/>
                <w:lang w:val="en-GB" w:eastAsia="en-GB"/>
              </w:rPr>
              <w:t xml:space="preserve">onitoring and reporting </w:t>
            </w:r>
            <w:r w:rsidR="00E83C0A" w:rsidRPr="00E83C0A">
              <w:rPr>
                <w:rFonts w:ascii="Calibri" w:eastAsia="Times New Roman" w:hAnsi="Calibri"/>
                <w:color w:val="000000"/>
                <w:sz w:val="22"/>
                <w:lang w:val="en-GB" w:eastAsia="en-GB"/>
              </w:rPr>
              <w:t>on national programs.</w:t>
            </w:r>
          </w:p>
        </w:tc>
      </w:tr>
      <w:tr w:rsidR="00117166" w:rsidRPr="00E83C0A" w14:paraId="2E70A613"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7216948D"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14.0 RIMU</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674DCAF9"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Servicing the World Bank - </w:t>
            </w:r>
            <w:r w:rsidRPr="00E83C0A">
              <w:rPr>
                <w:rFonts w:ascii="Calibri" w:eastAsia="Times New Roman" w:hAnsi="Calibri"/>
                <w:b/>
                <w:bCs/>
                <w:color w:val="000000"/>
                <w:sz w:val="22"/>
                <w:lang w:val="en-GB" w:eastAsia="en-GB"/>
              </w:rPr>
              <w:t xml:space="preserve">Structural issues to be reviewed </w:t>
            </w:r>
            <w:r w:rsidRPr="00E83C0A">
              <w:rPr>
                <w:rFonts w:ascii="Calibri" w:eastAsia="Times New Roman" w:hAnsi="Calibri"/>
                <w:color w:val="000000"/>
                <w:sz w:val="22"/>
                <w:lang w:val="en-GB" w:eastAsia="en-GB"/>
              </w:rPr>
              <w:t>including with Admin PIU</w:t>
            </w:r>
          </w:p>
        </w:tc>
      </w:tr>
      <w:tr w:rsidR="00117166" w:rsidRPr="00E83C0A" w14:paraId="4D2B1ED6"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329FE4CB"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15.0 Revenue Planning Department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3B191AEF"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Improving revenue forecasting enabling provincial level targets. </w:t>
            </w:r>
            <w:r w:rsidRPr="00E83C0A">
              <w:rPr>
                <w:rFonts w:ascii="Calibri" w:eastAsia="Times New Roman" w:hAnsi="Calibri"/>
                <w:b/>
                <w:bCs/>
                <w:color w:val="000000"/>
                <w:sz w:val="22"/>
                <w:lang w:val="en-GB" w:eastAsia="en-GB"/>
              </w:rPr>
              <w:t>Surveys of total tax payers</w:t>
            </w:r>
            <w:r w:rsidRPr="00E83C0A">
              <w:rPr>
                <w:rFonts w:ascii="Calibri" w:eastAsia="Times New Roman" w:hAnsi="Calibri"/>
                <w:color w:val="000000"/>
                <w:sz w:val="22"/>
                <w:lang w:val="en-GB" w:eastAsia="en-GB"/>
              </w:rPr>
              <w:t xml:space="preserve">. </w:t>
            </w:r>
          </w:p>
        </w:tc>
      </w:tr>
      <w:tr w:rsidR="00117166" w:rsidRPr="00E83C0A" w14:paraId="7E2CB0CC"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0A4AD3AF"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16.0 Macro-Fiscal Performance Department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73A78F2D"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Working with Budget and the policy linked budgeting. </w:t>
            </w:r>
            <w:r w:rsidRPr="00E83C0A">
              <w:rPr>
                <w:rFonts w:ascii="Calibri" w:eastAsia="Times New Roman" w:hAnsi="Calibri"/>
                <w:b/>
                <w:bCs/>
                <w:color w:val="00B050"/>
                <w:sz w:val="22"/>
                <w:lang w:val="en-GB" w:eastAsia="en-GB"/>
              </w:rPr>
              <w:t>Rolling Forward Estimates, New Policy focus and Fiscal Space</w:t>
            </w:r>
            <w:r w:rsidRPr="00E83C0A">
              <w:rPr>
                <w:rFonts w:ascii="Calibri" w:eastAsia="Times New Roman" w:hAnsi="Calibri"/>
                <w:color w:val="000000"/>
                <w:sz w:val="22"/>
                <w:lang w:val="en-GB" w:eastAsia="en-GB"/>
              </w:rPr>
              <w:t>. And PMT</w:t>
            </w:r>
          </w:p>
        </w:tc>
      </w:tr>
      <w:tr w:rsidR="00117166" w:rsidRPr="00E83C0A" w14:paraId="78480316"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13878144"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17.1 ADM: Aid Management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5076CA9F"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Working with  Donors, MFPD, Budget and Treasury to deliver timely and quality </w:t>
            </w:r>
            <w:r w:rsidRPr="00E83C0A">
              <w:rPr>
                <w:rFonts w:ascii="Calibri" w:eastAsia="Times New Roman" w:hAnsi="Calibri"/>
                <w:b/>
                <w:bCs/>
                <w:color w:val="00B050"/>
                <w:sz w:val="22"/>
                <w:lang w:val="en-GB" w:eastAsia="en-GB"/>
              </w:rPr>
              <w:t>consolidated budgets and accounts</w:t>
            </w:r>
          </w:p>
        </w:tc>
      </w:tr>
      <w:tr w:rsidR="00117166" w:rsidRPr="00E83C0A" w14:paraId="68EE67B0"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7DAB4E36" w14:textId="1B508486"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18.1 NPA</w:t>
            </w:r>
            <w:r w:rsidR="00525C0C">
              <w:rPr>
                <w:rFonts w:ascii="Calibri" w:eastAsia="Times New Roman" w:hAnsi="Calibri"/>
                <w:b/>
                <w:bCs/>
                <w:color w:val="000000"/>
                <w:sz w:val="22"/>
                <w:lang w:val="en-GB" w:eastAsia="en-GB"/>
              </w:rPr>
              <w:t>: National Procurement Authority</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2FE46B20"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Comprehensive reform taking on the big issues. Medium term </w:t>
            </w:r>
            <w:r w:rsidRPr="00E83C0A">
              <w:rPr>
                <w:rFonts w:ascii="Calibri" w:eastAsia="Times New Roman" w:hAnsi="Calibri"/>
                <w:b/>
                <w:bCs/>
                <w:color w:val="000000"/>
                <w:sz w:val="22"/>
                <w:lang w:val="en-GB" w:eastAsia="en-GB"/>
              </w:rPr>
              <w:t xml:space="preserve">plan to decentralize. </w:t>
            </w:r>
            <w:r w:rsidRPr="00E83C0A">
              <w:rPr>
                <w:rFonts w:ascii="Calibri" w:eastAsia="Times New Roman" w:hAnsi="Calibri"/>
                <w:b/>
                <w:bCs/>
                <w:color w:val="00B050"/>
                <w:sz w:val="22"/>
                <w:lang w:val="en-GB" w:eastAsia="en-GB"/>
              </w:rPr>
              <w:t>E-Procurement including contract management</w:t>
            </w:r>
            <w:r w:rsidRPr="00E83C0A">
              <w:rPr>
                <w:rFonts w:ascii="Calibri" w:eastAsia="Times New Roman" w:hAnsi="Calibri"/>
                <w:color w:val="00B050"/>
                <w:sz w:val="22"/>
                <w:lang w:val="en-GB" w:eastAsia="en-GB"/>
              </w:rPr>
              <w:t xml:space="preserve"> </w:t>
            </w:r>
            <w:r w:rsidRPr="00E83C0A">
              <w:rPr>
                <w:rFonts w:ascii="Calibri" w:eastAsia="Times New Roman" w:hAnsi="Calibri"/>
                <w:color w:val="000000"/>
                <w:sz w:val="22"/>
                <w:lang w:val="en-GB" w:eastAsia="en-GB"/>
              </w:rPr>
              <w:t>(working with Treasury)</w:t>
            </w:r>
          </w:p>
        </w:tc>
      </w:tr>
      <w:tr w:rsidR="00117166" w:rsidRPr="00E83C0A" w14:paraId="09EF7C11" w14:textId="77777777" w:rsidTr="00525C0C">
        <w:trPr>
          <w:trHeight w:val="20"/>
        </w:trPr>
        <w:tc>
          <w:tcPr>
            <w:tcW w:w="1393" w:type="pct"/>
            <w:tcBorders>
              <w:top w:val="nil"/>
              <w:left w:val="single" w:sz="4" w:space="0" w:color="auto"/>
              <w:bottom w:val="single" w:sz="4" w:space="0" w:color="auto"/>
              <w:right w:val="single" w:sz="4" w:space="0" w:color="auto"/>
            </w:tcBorders>
            <w:shd w:val="clear" w:color="auto" w:fill="E3F1E1" w:themeFill="accent4" w:themeFillTint="33"/>
            <w:vAlign w:val="center"/>
            <w:hideMark/>
          </w:tcPr>
          <w:p w14:paraId="1D0CCC91" w14:textId="77777777" w:rsidR="00E83C0A" w:rsidRPr="00E83C0A" w:rsidRDefault="00E83C0A" w:rsidP="00E83C0A">
            <w:pPr>
              <w:rPr>
                <w:rFonts w:ascii="Calibri" w:eastAsia="Times New Roman" w:hAnsi="Calibri"/>
                <w:b/>
                <w:bCs/>
                <w:color w:val="000000"/>
                <w:sz w:val="22"/>
                <w:lang w:val="en-GB" w:eastAsia="en-GB"/>
              </w:rPr>
            </w:pPr>
            <w:r w:rsidRPr="00E83C0A">
              <w:rPr>
                <w:rFonts w:ascii="Calibri" w:eastAsia="Times New Roman" w:hAnsi="Calibri"/>
                <w:b/>
                <w:bCs/>
                <w:color w:val="000000"/>
                <w:sz w:val="22"/>
                <w:lang w:val="en-GB" w:eastAsia="en-GB"/>
              </w:rPr>
              <w:t>19.1 AEITI Secretariat</w:t>
            </w:r>
          </w:p>
        </w:tc>
        <w:tc>
          <w:tcPr>
            <w:tcW w:w="3607" w:type="pct"/>
            <w:tcBorders>
              <w:top w:val="nil"/>
              <w:left w:val="nil"/>
              <w:bottom w:val="single" w:sz="4" w:space="0" w:color="auto"/>
              <w:right w:val="single" w:sz="4" w:space="0" w:color="auto"/>
            </w:tcBorders>
            <w:shd w:val="clear" w:color="auto" w:fill="FFFFFF" w:themeFill="background1"/>
            <w:vAlign w:val="center"/>
            <w:hideMark/>
          </w:tcPr>
          <w:p w14:paraId="0F10934C" w14:textId="77777777" w:rsidR="00E83C0A" w:rsidRPr="00E83C0A" w:rsidRDefault="00E83C0A" w:rsidP="00E83C0A">
            <w:pPr>
              <w:rPr>
                <w:rFonts w:ascii="Calibri" w:eastAsia="Times New Roman" w:hAnsi="Calibri"/>
                <w:color w:val="000000"/>
                <w:sz w:val="22"/>
                <w:lang w:val="en-GB" w:eastAsia="en-GB"/>
              </w:rPr>
            </w:pPr>
            <w:r w:rsidRPr="00E83C0A">
              <w:rPr>
                <w:rFonts w:ascii="Calibri" w:eastAsia="Times New Roman" w:hAnsi="Calibri"/>
                <w:color w:val="000000"/>
                <w:sz w:val="22"/>
                <w:lang w:val="en-GB" w:eastAsia="en-GB"/>
              </w:rPr>
              <w:t xml:space="preserve">Working with government agencies to help revealed weakness in revenue and contract management – helping to close loopholes including </w:t>
            </w:r>
            <w:r w:rsidRPr="00E83C0A">
              <w:rPr>
                <w:rFonts w:ascii="Calibri" w:eastAsia="Times New Roman" w:hAnsi="Calibri"/>
                <w:b/>
                <w:bCs/>
                <w:color w:val="00B050"/>
                <w:sz w:val="22"/>
                <w:lang w:val="en-GB" w:eastAsia="en-GB"/>
              </w:rPr>
              <w:t>closing revenue leakages of c$1 b pa.</w:t>
            </w:r>
          </w:p>
        </w:tc>
      </w:tr>
    </w:tbl>
    <w:p w14:paraId="5E7C4CAD" w14:textId="1C784203" w:rsidR="002B14BB" w:rsidRPr="002B14BB" w:rsidRDefault="002B14BB" w:rsidP="00F16BE9">
      <w:pPr>
        <w:pStyle w:val="Heading3"/>
        <w:rPr>
          <w:color w:val="4E9747" w:themeColor="accent4" w:themeShade="BF"/>
          <w:lang w:val="en-GB"/>
        </w:rPr>
      </w:pPr>
      <w:bookmarkStart w:id="22" w:name="_Toc457162623"/>
      <w:r w:rsidRPr="002B14BB">
        <w:rPr>
          <w:color w:val="4E9747" w:themeColor="accent4" w:themeShade="BF"/>
          <w:lang w:val="en-GB"/>
        </w:rPr>
        <w:t>Aspirational Targets</w:t>
      </w:r>
      <w:r w:rsidR="00F16BE9">
        <w:rPr>
          <w:lang w:val="en-GB"/>
        </w:rPr>
        <w:t xml:space="preserve"> – Our Guides</w:t>
      </w:r>
      <w:bookmarkEnd w:id="22"/>
    </w:p>
    <w:p w14:paraId="296B30AA" w14:textId="402ACDEC" w:rsidR="00662D07" w:rsidRDefault="00C37B0A" w:rsidP="00EC65C8">
      <w:pPr>
        <w:pStyle w:val="Numberedpara"/>
      </w:pPr>
      <w:r>
        <w:rPr>
          <w:b/>
        </w:rPr>
        <w:t xml:space="preserve"> </w:t>
      </w:r>
      <w:r w:rsidR="00662D07">
        <w:rPr>
          <w:b/>
        </w:rPr>
        <w:t>An</w:t>
      </w:r>
      <w:r>
        <w:rPr>
          <w:b/>
        </w:rPr>
        <w:t xml:space="preserve"> initial set of aspirational</w:t>
      </w:r>
      <w:r w:rsidR="00662D07">
        <w:rPr>
          <w:b/>
        </w:rPr>
        <w:t xml:space="preserve"> </w:t>
      </w:r>
      <w:r>
        <w:rPr>
          <w:b/>
        </w:rPr>
        <w:t>(</w:t>
      </w:r>
      <w:r w:rsidR="00662D07">
        <w:rPr>
          <w:b/>
        </w:rPr>
        <w:t>guiding</w:t>
      </w:r>
      <w:r>
        <w:rPr>
          <w:b/>
        </w:rPr>
        <w:t>)</w:t>
      </w:r>
      <w:r w:rsidR="00662D07">
        <w:rPr>
          <w:b/>
        </w:rPr>
        <w:t xml:space="preserve"> targets have been establi</w:t>
      </w:r>
      <w:r w:rsidR="00001A74">
        <w:rPr>
          <w:b/>
        </w:rPr>
        <w:t>shed</w:t>
      </w:r>
      <w:r w:rsidR="00001A74">
        <w:t xml:space="preserve"> helping</w:t>
      </w:r>
      <w:r w:rsidR="00662D07" w:rsidRPr="00662D07">
        <w:t xml:space="preserve"> to transform</w:t>
      </w:r>
      <w:r w:rsidR="00662D07">
        <w:rPr>
          <w:b/>
        </w:rPr>
        <w:t xml:space="preserve"> </w:t>
      </w:r>
      <w:r>
        <w:t>the PFMR</w:t>
      </w:r>
      <w:r w:rsidR="00662D07" w:rsidRPr="00554B11">
        <w:t>-II Strategy into a rolling 5-year Fiscal Performance Improvement Plan.</w:t>
      </w:r>
      <w:r w:rsidR="00411DAF">
        <w:t xml:space="preserve"> Fixed</w:t>
      </w:r>
      <w:r w:rsidR="00662D07">
        <w:t xml:space="preserve"> aspira</w:t>
      </w:r>
      <w:r w:rsidR="00D5597C">
        <w:t xml:space="preserve">tional targets </w:t>
      </w:r>
      <w:r w:rsidR="00662D07">
        <w:t>throughout the ref</w:t>
      </w:r>
      <w:r w:rsidR="00411DAF">
        <w:t xml:space="preserve">orm period </w:t>
      </w:r>
      <w:r w:rsidR="00662D07">
        <w:t>ensure</w:t>
      </w:r>
      <w:r w:rsidR="00411DAF">
        <w:t>s</w:t>
      </w:r>
      <w:r w:rsidR="00662D07">
        <w:t xml:space="preserve"> teams are focus</w:t>
      </w:r>
      <w:r w:rsidR="00001A74">
        <w:t>ing on building</w:t>
      </w:r>
      <w:r w:rsidR="00662D07">
        <w:t xml:space="preserve"> systems that work </w:t>
      </w:r>
      <w:r w:rsidR="00001A74">
        <w:t>in the local context but also meet</w:t>
      </w:r>
      <w:r w:rsidR="00662D07">
        <w:t xml:space="preserve"> international standards. </w:t>
      </w:r>
      <w:r w:rsidR="000562CF">
        <w:t>They will also assist donors in interpreting progress made in various areas of reform.</w:t>
      </w:r>
    </w:p>
    <w:p w14:paraId="1CC75B1D" w14:textId="77777777" w:rsidR="00662D07" w:rsidRPr="004F1E3E" w:rsidRDefault="00662D07" w:rsidP="004F1E3E">
      <w:pPr>
        <w:pStyle w:val="Heading4"/>
      </w:pPr>
      <w:bookmarkStart w:id="23" w:name="_Toc431325840"/>
      <w:r w:rsidRPr="004F1E3E">
        <w:t>International Benchmarks</w:t>
      </w:r>
      <w:bookmarkEnd w:id="23"/>
    </w:p>
    <w:p w14:paraId="26FF322A" w14:textId="06A3E80D" w:rsidR="00662D07" w:rsidRDefault="00591079" w:rsidP="00EC65C8">
      <w:pPr>
        <w:pStyle w:val="Numberedpara"/>
      </w:pPr>
      <w:r>
        <w:rPr>
          <w:b/>
        </w:rPr>
        <w:t xml:space="preserve"> All teams have discussed a</w:t>
      </w:r>
      <w:r w:rsidR="00662D07">
        <w:rPr>
          <w:b/>
        </w:rPr>
        <w:t>n initial set of a</w:t>
      </w:r>
      <w:r w:rsidR="00662D07" w:rsidRPr="008470B4">
        <w:rPr>
          <w:b/>
        </w:rPr>
        <w:t xml:space="preserve">spirational targets </w:t>
      </w:r>
      <w:r w:rsidR="00662D07">
        <w:rPr>
          <w:b/>
        </w:rPr>
        <w:t>against</w:t>
      </w:r>
      <w:r w:rsidR="00662D07" w:rsidRPr="008470B4">
        <w:rPr>
          <w:b/>
        </w:rPr>
        <w:t xml:space="preserve"> i</w:t>
      </w:r>
      <w:r w:rsidR="00001A74">
        <w:rPr>
          <w:b/>
        </w:rPr>
        <w:t>nternational benchmarks</w:t>
      </w:r>
      <w:r w:rsidR="00001A74">
        <w:t xml:space="preserve"> in the </w:t>
      </w:r>
      <w:r w:rsidR="000562CF">
        <w:t xml:space="preserve">context of </w:t>
      </w:r>
      <w:r>
        <w:t>developing their</w:t>
      </w:r>
      <w:r w:rsidR="00001A74">
        <w:t xml:space="preserve"> individual team</w:t>
      </w:r>
      <w:r w:rsidR="00FE56E3">
        <w:t>’s</w:t>
      </w:r>
      <w:r w:rsidR="00001A74">
        <w:t xml:space="preserve"> </w:t>
      </w:r>
      <w:r w:rsidR="00256607">
        <w:t>5-year</w:t>
      </w:r>
      <w:r w:rsidR="00001A74">
        <w:t xml:space="preserve"> rolling </w:t>
      </w:r>
      <w:r w:rsidR="00C37B0A">
        <w:t xml:space="preserve">plan. </w:t>
      </w:r>
      <w:r w:rsidR="00001A74">
        <w:t xml:space="preserve"> </w:t>
      </w:r>
      <w:r w:rsidR="00C37B0A">
        <w:t>These will be further refined in the mid-year review and formally</w:t>
      </w:r>
      <w:r w:rsidR="00001A74">
        <w:t xml:space="preserve"> adopted by the </w:t>
      </w:r>
      <w:r w:rsidR="000562CF">
        <w:t>G</w:t>
      </w:r>
      <w:r w:rsidR="00001A74">
        <w:t>overnment by the end of this</w:t>
      </w:r>
      <w:r w:rsidR="00C37B0A">
        <w:t xml:space="preserve"> year. In this plan f</w:t>
      </w:r>
      <w:r w:rsidR="00662D07">
        <w:t>our inter</w:t>
      </w:r>
      <w:r w:rsidR="00C37B0A">
        <w:t>national benchmarks will be used</w:t>
      </w:r>
      <w:r w:rsidR="00662D07">
        <w:t xml:space="preserve">: </w:t>
      </w:r>
    </w:p>
    <w:p w14:paraId="27344BCD" w14:textId="27ABF177" w:rsidR="00662D07" w:rsidRDefault="00662D07" w:rsidP="00333F8B">
      <w:pPr>
        <w:pStyle w:val="Numberedbullet"/>
      </w:pPr>
      <w:r w:rsidRPr="00C37B0A">
        <w:t>P</w:t>
      </w:r>
      <w:r w:rsidR="00C37B0A">
        <w:t xml:space="preserve">ublic </w:t>
      </w:r>
      <w:r w:rsidRPr="00C37B0A">
        <w:t>E</w:t>
      </w:r>
      <w:r w:rsidR="00C37B0A">
        <w:t xml:space="preserve">xpenditure and </w:t>
      </w:r>
      <w:r w:rsidRPr="00C37B0A">
        <w:t>F</w:t>
      </w:r>
      <w:r w:rsidR="00C37B0A">
        <w:t xml:space="preserve">inancial </w:t>
      </w:r>
      <w:r w:rsidRPr="00C37B0A">
        <w:t>A</w:t>
      </w:r>
      <w:r w:rsidR="00C37B0A">
        <w:t>ccountability (PEFA)</w:t>
      </w:r>
      <w:r>
        <w:t xml:space="preserve"> </w:t>
      </w:r>
      <w:r w:rsidR="007D34A9">
        <w:t xml:space="preserve">framework </w:t>
      </w:r>
      <w:r>
        <w:t xml:space="preserve">– current version and the upgraded version under testing; </w:t>
      </w:r>
    </w:p>
    <w:p w14:paraId="1C4CC972" w14:textId="77777777" w:rsidR="00662D07" w:rsidRDefault="00662D07" w:rsidP="00333F8B">
      <w:pPr>
        <w:pStyle w:val="Numberedbullet"/>
      </w:pPr>
      <w:r w:rsidRPr="00887CA6">
        <w:t>Open Budget Index</w:t>
      </w:r>
      <w:r>
        <w:t xml:space="preserve">; </w:t>
      </w:r>
    </w:p>
    <w:p w14:paraId="48D8E950" w14:textId="0A5B266B" w:rsidR="00662D07" w:rsidRDefault="00662D07" w:rsidP="00333F8B">
      <w:pPr>
        <w:pStyle w:val="Numberedbullet"/>
      </w:pPr>
      <w:r w:rsidRPr="00887CA6">
        <w:t>Statistical Capacity Indicator</w:t>
      </w:r>
      <w:r w:rsidR="007D34A9">
        <w:t>s</w:t>
      </w:r>
      <w:r>
        <w:t xml:space="preserve">; and </w:t>
      </w:r>
    </w:p>
    <w:p w14:paraId="4C09F2C4" w14:textId="2C8852A8" w:rsidR="00DE147D" w:rsidRDefault="00662D07" w:rsidP="00DE147D">
      <w:pPr>
        <w:pStyle w:val="Numberedbullet"/>
      </w:pPr>
      <w:r w:rsidRPr="00887CA6">
        <w:t xml:space="preserve">Doing Business </w:t>
      </w:r>
      <w:r>
        <w:t>on</w:t>
      </w:r>
      <w:r w:rsidRPr="00887CA6">
        <w:t xml:space="preserve"> Tax and Customs</w:t>
      </w:r>
      <w:r>
        <w:t xml:space="preserve">. </w:t>
      </w:r>
    </w:p>
    <w:p w14:paraId="4D5423B0" w14:textId="23870068" w:rsidR="00DE147D" w:rsidRDefault="00D734C9" w:rsidP="00641577">
      <w:pPr>
        <w:pStyle w:val="Numberedpara"/>
      </w:pPr>
      <w:r>
        <w:rPr>
          <w:b/>
        </w:rPr>
        <w:t xml:space="preserve"> </w:t>
      </w:r>
      <w:r w:rsidR="00DE147D" w:rsidRPr="00CC1E04">
        <w:rPr>
          <w:b/>
        </w:rPr>
        <w:fldChar w:fldCharType="begin"/>
      </w:r>
      <w:r w:rsidR="00DE147D" w:rsidRPr="00CC1E04">
        <w:rPr>
          <w:b/>
        </w:rPr>
        <w:instrText xml:space="preserve"> REF _Ref282947905 \n \h </w:instrText>
      </w:r>
      <w:r w:rsidR="00DE147D" w:rsidRPr="00CC1E04">
        <w:rPr>
          <w:b/>
        </w:rPr>
      </w:r>
      <w:r w:rsidR="00DE147D" w:rsidRPr="00CC1E04">
        <w:rPr>
          <w:b/>
        </w:rPr>
        <w:fldChar w:fldCharType="separate"/>
      </w:r>
      <w:r w:rsidR="00004C5E">
        <w:rPr>
          <w:b/>
        </w:rPr>
        <w:t>Figure 3</w:t>
      </w:r>
      <w:r w:rsidR="00DE147D" w:rsidRPr="00CC1E04">
        <w:rPr>
          <w:b/>
        </w:rPr>
        <w:fldChar w:fldCharType="end"/>
      </w:r>
      <w:r w:rsidR="00DE147D" w:rsidRPr="00CC1E04">
        <w:rPr>
          <w:b/>
        </w:rPr>
        <w:t xml:space="preserve"> </w:t>
      </w:r>
      <w:r w:rsidR="00DE147D" w:rsidRPr="00CC1E04">
        <w:rPr>
          <w:b/>
        </w:rPr>
        <w:fldChar w:fldCharType="begin"/>
      </w:r>
      <w:r w:rsidR="00DE147D" w:rsidRPr="00CC1E04">
        <w:rPr>
          <w:b/>
        </w:rPr>
        <w:instrText xml:space="preserve"> REF _Ref282947905 \p \h </w:instrText>
      </w:r>
      <w:r w:rsidR="00DE147D" w:rsidRPr="00CC1E04">
        <w:rPr>
          <w:b/>
        </w:rPr>
      </w:r>
      <w:r w:rsidR="00DE147D" w:rsidRPr="00CC1E04">
        <w:rPr>
          <w:b/>
        </w:rPr>
        <w:fldChar w:fldCharType="separate"/>
      </w:r>
      <w:r w:rsidR="00004C5E">
        <w:rPr>
          <w:b/>
        </w:rPr>
        <w:t>below</w:t>
      </w:r>
      <w:r w:rsidR="00DE147D" w:rsidRPr="00CC1E04">
        <w:rPr>
          <w:b/>
        </w:rPr>
        <w:fldChar w:fldCharType="end"/>
      </w:r>
      <w:r w:rsidR="00DE147D" w:rsidRPr="00CC1E04">
        <w:rPr>
          <w:b/>
        </w:rPr>
        <w:t xml:space="preserve"> presents the trends in PEFA </w:t>
      </w:r>
      <w:r w:rsidR="00DE147D">
        <w:rPr>
          <w:b/>
        </w:rPr>
        <w:t xml:space="preserve">and PEFA-10 </w:t>
      </w:r>
      <w:r w:rsidR="00DE147D" w:rsidRPr="00CC1E04">
        <w:rPr>
          <w:b/>
        </w:rPr>
        <w:t xml:space="preserve">scores </w:t>
      </w:r>
      <w:r w:rsidR="00DE147D" w:rsidRPr="00083897">
        <w:t xml:space="preserve">for </w:t>
      </w:r>
      <w:r w:rsidR="00DE147D">
        <w:t>Afghanistan since 2005</w:t>
      </w:r>
      <w:r w:rsidR="00DE147D" w:rsidRPr="00083897">
        <w:t xml:space="preserve"> and the </w:t>
      </w:r>
      <w:r w:rsidR="00DE147D">
        <w:t>initial aspirational targets the Government</w:t>
      </w:r>
      <w:r w:rsidR="00DE147D" w:rsidRPr="00083897">
        <w:t xml:space="preserve"> </w:t>
      </w:r>
      <w:r w:rsidR="00DE147D">
        <w:t xml:space="preserve">is considering for the medium to long term (green columns). Between 2005 and 2008, there was good progress was in raising PEFA scores, meaning the overall quality of PFM systems has improved and the level of inherent fiduciary risks </w:t>
      </w:r>
      <w:r w:rsidR="00DE147D">
        <w:lastRenderedPageBreak/>
        <w:t xml:space="preserve">has fallen. However, from 2008 onwards, progress has plateaued. The Government is proposing achievable but ambitious targets, recognising that it is much harder to rise to the top from the middle ground than it is to rise to the middle ground from a low base. For a complete list of the initial aspirational targets for each PEFA dimension, see </w:t>
      </w:r>
      <w:r w:rsidR="00DE147D">
        <w:fldChar w:fldCharType="begin"/>
      </w:r>
      <w:r w:rsidR="00DE147D">
        <w:instrText xml:space="preserve"> REF _Ref428550122 \h </w:instrText>
      </w:r>
      <w:r w:rsidR="00DE147D">
        <w:fldChar w:fldCharType="separate"/>
      </w:r>
      <w:r w:rsidR="00004C5E">
        <w:rPr>
          <w:rStyle w:val="Emphasis"/>
        </w:rPr>
        <w:t>Attachment B</w:t>
      </w:r>
      <w:r w:rsidR="00004C5E" w:rsidRPr="00FE5C2E">
        <w:rPr>
          <w:rStyle w:val="Emphasis"/>
        </w:rPr>
        <w:t xml:space="preserve">: Aspirational and Guiding Targets </w:t>
      </w:r>
      <w:r w:rsidR="00004C5E">
        <w:t>to support Implemen</w:t>
      </w:r>
      <w:r w:rsidR="00004C5E" w:rsidRPr="00FE5C2E">
        <w:t>t</w:t>
      </w:r>
      <w:r w:rsidR="00004C5E">
        <w:t>at</w:t>
      </w:r>
      <w:r w:rsidR="00004C5E" w:rsidRPr="00FE5C2E">
        <w:t>ion of the PFMR-II</w:t>
      </w:r>
      <w:r w:rsidR="00DE147D">
        <w:fldChar w:fldCharType="end"/>
      </w:r>
      <w:r w:rsidR="00DE147D">
        <w:t>.</w:t>
      </w:r>
    </w:p>
    <w:p w14:paraId="5C9F0AE4" w14:textId="4AE2776E" w:rsidR="00662D07" w:rsidRPr="0055422E" w:rsidRDefault="00662D07" w:rsidP="00662D07">
      <w:pPr>
        <w:pStyle w:val="FigureHeader"/>
      </w:pPr>
      <w:bookmarkStart w:id="24" w:name="_Ref282947905"/>
      <w:bookmarkStart w:id="25" w:name="_Toc430414680"/>
      <w:bookmarkStart w:id="26" w:name="_Toc457162651"/>
      <w:r w:rsidRPr="0055422E">
        <w:t>Aspirational Targets for PEFA</w:t>
      </w:r>
      <w:bookmarkEnd w:id="24"/>
      <w:r w:rsidRPr="0055422E">
        <w:t xml:space="preserve"> </w:t>
      </w:r>
      <w:r>
        <w:t>and PEFA-10</w:t>
      </w:r>
      <w:bookmarkEnd w:id="25"/>
      <w:bookmarkEnd w:id="26"/>
    </w:p>
    <w:p w14:paraId="5C71A8D7" w14:textId="77777777" w:rsidR="00662D07" w:rsidRDefault="00662D07" w:rsidP="00662D07">
      <w:pPr>
        <w:pBdr>
          <w:top w:val="single" w:sz="4" w:space="1" w:color="auto"/>
          <w:left w:val="single" w:sz="4" w:space="4" w:color="auto"/>
          <w:bottom w:val="single" w:sz="4" w:space="1" w:color="auto"/>
          <w:right w:val="single" w:sz="4" w:space="4" w:color="auto"/>
        </w:pBdr>
        <w:shd w:val="clear" w:color="auto" w:fill="E3F1E1" w:themeFill="accent4" w:themeFillTint="33"/>
        <w:jc w:val="center"/>
        <w:rPr>
          <w:b/>
          <w:bCs/>
          <w:szCs w:val="28"/>
        </w:rPr>
      </w:pPr>
      <w:r>
        <w:rPr>
          <w:noProof/>
        </w:rPr>
        <w:drawing>
          <wp:inline distT="0" distB="0" distL="0" distR="0" wp14:anchorId="7C0A5688" wp14:editId="6F9EA585">
            <wp:extent cx="5486400" cy="358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582000"/>
                    </a:xfrm>
                    <a:prstGeom prst="rect">
                      <a:avLst/>
                    </a:prstGeom>
                  </pic:spPr>
                </pic:pic>
              </a:graphicData>
            </a:graphic>
          </wp:inline>
        </w:drawing>
      </w:r>
    </w:p>
    <w:p w14:paraId="0F671C0C" w14:textId="77777777" w:rsidR="00662D07" w:rsidRPr="0027479B" w:rsidRDefault="00662D07" w:rsidP="008168B1">
      <w:pPr>
        <w:pBdr>
          <w:top w:val="single" w:sz="4" w:space="1" w:color="auto"/>
          <w:left w:val="single" w:sz="4" w:space="4" w:color="auto"/>
          <w:bottom w:val="single" w:sz="4" w:space="1" w:color="auto"/>
          <w:right w:val="single" w:sz="4" w:space="4" w:color="auto"/>
        </w:pBdr>
        <w:shd w:val="clear" w:color="auto" w:fill="E3F1E1" w:themeFill="accent4" w:themeFillTint="33"/>
        <w:rPr>
          <w:b/>
          <w:bCs/>
          <w:sz w:val="6"/>
          <w:szCs w:val="28"/>
        </w:rPr>
      </w:pPr>
    </w:p>
    <w:p w14:paraId="31312AD2" w14:textId="37E212DE" w:rsidR="00662D07" w:rsidRPr="008168B1" w:rsidRDefault="00662D07" w:rsidP="008168B1">
      <w:pPr>
        <w:pBdr>
          <w:top w:val="single" w:sz="4" w:space="1" w:color="auto"/>
          <w:left w:val="single" w:sz="4" w:space="4" w:color="auto"/>
          <w:bottom w:val="single" w:sz="4" w:space="1" w:color="auto"/>
          <w:right w:val="single" w:sz="4" w:space="4" w:color="auto"/>
        </w:pBdr>
        <w:shd w:val="clear" w:color="auto" w:fill="E3F1E1" w:themeFill="accent4" w:themeFillTint="33"/>
        <w:jc w:val="center"/>
        <w:rPr>
          <w:b/>
          <w:bCs/>
          <w:szCs w:val="28"/>
        </w:rPr>
      </w:pPr>
      <w:r>
        <w:rPr>
          <w:noProof/>
        </w:rPr>
        <w:drawing>
          <wp:inline distT="0" distB="0" distL="0" distR="0" wp14:anchorId="176336BC" wp14:editId="54377C33">
            <wp:extent cx="5486400" cy="358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582000"/>
                    </a:xfrm>
                    <a:prstGeom prst="rect">
                      <a:avLst/>
                    </a:prstGeom>
                  </pic:spPr>
                </pic:pic>
              </a:graphicData>
            </a:graphic>
          </wp:inline>
        </w:drawing>
      </w:r>
    </w:p>
    <w:p w14:paraId="7E8676AB" w14:textId="27E57F59" w:rsidR="00641577" w:rsidRPr="0003527D" w:rsidRDefault="00D734C9" w:rsidP="00641577">
      <w:pPr>
        <w:pStyle w:val="Numberedpara"/>
      </w:pPr>
      <w:bookmarkStart w:id="27" w:name="_Ref286495671"/>
      <w:r>
        <w:rPr>
          <w:b/>
        </w:rPr>
        <w:lastRenderedPageBreak/>
        <w:t xml:space="preserve"> </w:t>
      </w:r>
      <w:r w:rsidR="00641577" w:rsidRPr="00CC1E04">
        <w:rPr>
          <w:b/>
        </w:rPr>
        <w:t xml:space="preserve">Each team </w:t>
      </w:r>
      <w:r w:rsidR="00641577">
        <w:rPr>
          <w:b/>
        </w:rPr>
        <w:t>has</w:t>
      </w:r>
      <w:r w:rsidR="00641577" w:rsidRPr="00CC1E04">
        <w:rPr>
          <w:b/>
        </w:rPr>
        <w:t xml:space="preserve"> assigned a range of PEFA indicators</w:t>
      </w:r>
      <w:r w:rsidR="00641577">
        <w:rPr>
          <w:b/>
        </w:rPr>
        <w:t xml:space="preserve"> to their activities</w:t>
      </w:r>
      <w:r w:rsidR="00641577">
        <w:t xml:space="preserve">. Discussion of these aspirational targets and the actions needed to achieve the targets formed part of the process for establishing the initial 5-year plans. They are included in the mid-year and annual performance assessments. </w:t>
      </w:r>
      <w:bookmarkEnd w:id="27"/>
    </w:p>
    <w:p w14:paraId="59FA7BB8" w14:textId="77777777" w:rsidR="00662D07" w:rsidRPr="0055422E" w:rsidRDefault="00662D07" w:rsidP="00662D07">
      <w:pPr>
        <w:pStyle w:val="FigureHeader"/>
      </w:pPr>
      <w:bookmarkStart w:id="28" w:name="_Toc430414681"/>
      <w:bookmarkStart w:id="29" w:name="_Toc457162652"/>
      <w:r>
        <w:t xml:space="preserve">Selected </w:t>
      </w:r>
      <w:r w:rsidRPr="0055422E">
        <w:t xml:space="preserve">Aspirational Targets for </w:t>
      </w:r>
      <w:r>
        <w:t xml:space="preserve">Upgraded </w:t>
      </w:r>
      <w:r w:rsidRPr="0055422E">
        <w:t>PEFA</w:t>
      </w:r>
      <w:bookmarkEnd w:id="28"/>
      <w:bookmarkEnd w:id="29"/>
    </w:p>
    <w:p w14:paraId="796931A2" w14:textId="23973751" w:rsidR="00662D07" w:rsidRDefault="00EF23B7" w:rsidP="00E83B75">
      <w:pPr>
        <w:pBdr>
          <w:top w:val="single" w:sz="4" w:space="1" w:color="auto"/>
          <w:left w:val="single" w:sz="4" w:space="4" w:color="auto"/>
          <w:bottom w:val="single" w:sz="4" w:space="1" w:color="auto"/>
          <w:right w:val="single" w:sz="4" w:space="4" w:color="auto"/>
        </w:pBdr>
        <w:shd w:val="clear" w:color="auto" w:fill="E3F1E1" w:themeFill="accent4" w:themeFillTint="33"/>
        <w:jc w:val="center"/>
      </w:pPr>
      <w:r w:rsidRPr="00EF23B7">
        <w:rPr>
          <w:noProof/>
        </w:rPr>
        <w:drawing>
          <wp:inline distT="0" distB="0" distL="0" distR="0" wp14:anchorId="68663975" wp14:editId="6F1715A2">
            <wp:extent cx="5485555" cy="338074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759" cy="3387029"/>
                    </a:xfrm>
                    <a:prstGeom prst="rect">
                      <a:avLst/>
                    </a:prstGeom>
                    <a:noFill/>
                    <a:ln>
                      <a:noFill/>
                    </a:ln>
                  </pic:spPr>
                </pic:pic>
              </a:graphicData>
            </a:graphic>
          </wp:inline>
        </w:drawing>
      </w:r>
    </w:p>
    <w:p w14:paraId="7B31E9A7" w14:textId="77777777" w:rsidR="008168B1" w:rsidRPr="008168B1" w:rsidRDefault="008168B1" w:rsidP="00E83B75">
      <w:pPr>
        <w:pBdr>
          <w:top w:val="single" w:sz="4" w:space="1" w:color="auto"/>
          <w:left w:val="single" w:sz="4" w:space="4" w:color="auto"/>
          <w:bottom w:val="single" w:sz="4" w:space="1" w:color="auto"/>
          <w:right w:val="single" w:sz="4" w:space="4" w:color="auto"/>
        </w:pBdr>
        <w:shd w:val="clear" w:color="auto" w:fill="E3F1E1" w:themeFill="accent4" w:themeFillTint="33"/>
        <w:jc w:val="center"/>
        <w:rPr>
          <w:sz w:val="8"/>
        </w:rPr>
      </w:pPr>
    </w:p>
    <w:p w14:paraId="64C542C9" w14:textId="4E50A9F3" w:rsidR="00DE147D" w:rsidRDefault="00662D07" w:rsidP="00E83B75">
      <w:pPr>
        <w:pBdr>
          <w:top w:val="single" w:sz="4" w:space="1" w:color="auto"/>
          <w:left w:val="single" w:sz="4" w:space="4" w:color="auto"/>
          <w:bottom w:val="single" w:sz="4" w:space="1" w:color="auto"/>
          <w:right w:val="single" w:sz="4" w:space="4" w:color="auto"/>
        </w:pBdr>
        <w:shd w:val="clear" w:color="auto" w:fill="E3F1E1" w:themeFill="accent4" w:themeFillTint="33"/>
        <w:jc w:val="center"/>
      </w:pPr>
      <w:r w:rsidRPr="00702C4C">
        <w:rPr>
          <w:noProof/>
          <w:shd w:val="clear" w:color="auto" w:fill="E3F1E1" w:themeFill="accent4" w:themeFillTint="33"/>
        </w:rPr>
        <w:drawing>
          <wp:inline distT="0" distB="0" distL="0" distR="0" wp14:anchorId="0274CC37" wp14:editId="55CAFC99">
            <wp:extent cx="2736000" cy="19872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000" cy="1987200"/>
                    </a:xfrm>
                    <a:prstGeom prst="rect">
                      <a:avLst/>
                    </a:prstGeom>
                    <a:noFill/>
                    <a:ln>
                      <a:noFill/>
                    </a:ln>
                  </pic:spPr>
                </pic:pic>
              </a:graphicData>
            </a:graphic>
          </wp:inline>
        </w:drawing>
      </w:r>
      <w:r w:rsidRPr="00702C4C">
        <w:rPr>
          <w:noProof/>
          <w:shd w:val="clear" w:color="auto" w:fill="E3F1E1" w:themeFill="accent4" w:themeFillTint="33"/>
        </w:rPr>
        <w:drawing>
          <wp:inline distT="0" distB="0" distL="0" distR="0" wp14:anchorId="67495046" wp14:editId="02998458">
            <wp:extent cx="2736000" cy="19872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6000" cy="1987200"/>
                    </a:xfrm>
                    <a:prstGeom prst="rect">
                      <a:avLst/>
                    </a:prstGeom>
                    <a:noFill/>
                    <a:ln>
                      <a:noFill/>
                    </a:ln>
                  </pic:spPr>
                </pic:pic>
              </a:graphicData>
            </a:graphic>
          </wp:inline>
        </w:drawing>
      </w:r>
      <w:r w:rsidRPr="00702C4C">
        <w:rPr>
          <w:noProof/>
        </w:rPr>
        <w:drawing>
          <wp:inline distT="0" distB="0" distL="0" distR="0" wp14:anchorId="5676E18F" wp14:editId="29B810A2">
            <wp:extent cx="2736000" cy="1987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6000" cy="1987200"/>
                    </a:xfrm>
                    <a:prstGeom prst="rect">
                      <a:avLst/>
                    </a:prstGeom>
                    <a:noFill/>
                    <a:ln>
                      <a:noFill/>
                    </a:ln>
                  </pic:spPr>
                </pic:pic>
              </a:graphicData>
            </a:graphic>
          </wp:inline>
        </w:drawing>
      </w:r>
      <w:r w:rsidRPr="00702C4C">
        <w:rPr>
          <w:noProof/>
        </w:rPr>
        <w:drawing>
          <wp:inline distT="0" distB="0" distL="0" distR="0" wp14:anchorId="1562CDA1" wp14:editId="0A774480">
            <wp:extent cx="2736000" cy="19872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6000" cy="1987200"/>
                    </a:xfrm>
                    <a:prstGeom prst="rect">
                      <a:avLst/>
                    </a:prstGeom>
                    <a:noFill/>
                    <a:ln>
                      <a:noFill/>
                    </a:ln>
                  </pic:spPr>
                </pic:pic>
              </a:graphicData>
            </a:graphic>
          </wp:inline>
        </w:drawing>
      </w:r>
    </w:p>
    <w:p w14:paraId="5867B2BE" w14:textId="77777777" w:rsidR="00E67775" w:rsidRPr="00E67775" w:rsidRDefault="00E67775" w:rsidP="00E67775">
      <w:pPr>
        <w:pStyle w:val="Numberedpara"/>
        <w:numPr>
          <w:ilvl w:val="0"/>
          <w:numId w:val="0"/>
        </w:numPr>
        <w:ind w:left="360"/>
      </w:pPr>
    </w:p>
    <w:p w14:paraId="7984A6E7" w14:textId="1D40F8D2" w:rsidR="00641577" w:rsidRDefault="00E67775" w:rsidP="00641577">
      <w:pPr>
        <w:pStyle w:val="Numberedpara"/>
      </w:pPr>
      <w:r>
        <w:rPr>
          <w:b/>
        </w:rPr>
        <w:lastRenderedPageBreak/>
        <w:t xml:space="preserve"> </w:t>
      </w:r>
      <w:r w:rsidR="00641577" w:rsidRPr="00702C4C">
        <w:rPr>
          <w:b/>
        </w:rPr>
        <w:t xml:space="preserve">Aspirational targets have also been </w:t>
      </w:r>
      <w:r w:rsidR="00641577">
        <w:rPr>
          <w:b/>
        </w:rPr>
        <w:t>set</w:t>
      </w:r>
      <w:r w:rsidR="00641577" w:rsidRPr="00702C4C">
        <w:rPr>
          <w:b/>
        </w:rPr>
        <w:t xml:space="preserve"> for key indicators under the Upgraded PEFA</w:t>
      </w:r>
      <w:r w:rsidR="00641577">
        <w:t xml:space="preserve">. The upgraded PEFA introduces new fiscal management performance indicators, previously not covered by PEFA or any other generally excepted diagnostic. Key areas covered include: i) public investment management; ii) public asset management; and iii) key areas related to medium term budgeting and fiscal risk management. These three previously uncovered areas are particularly relevant for Afghanistan to help overcome problems like over-budgeting, weak distribution of resources and inefficient spending. </w:t>
      </w:r>
    </w:p>
    <w:p w14:paraId="66075D2C" w14:textId="609642F0" w:rsidR="00DE147D" w:rsidRPr="0027479B" w:rsidRDefault="00E67775" w:rsidP="00DE147D">
      <w:pPr>
        <w:pStyle w:val="Numberedpara"/>
        <w:rPr>
          <w:bCs/>
          <w:szCs w:val="28"/>
        </w:rPr>
      </w:pPr>
      <w:r>
        <w:rPr>
          <w:b/>
        </w:rPr>
        <w:t xml:space="preserve"> </w:t>
      </w:r>
      <w:r w:rsidR="00DE147D">
        <w:rPr>
          <w:b/>
        </w:rPr>
        <w:t>Aspirational</w:t>
      </w:r>
      <w:r w:rsidR="00DE147D" w:rsidRPr="0061064E">
        <w:rPr>
          <w:b/>
        </w:rPr>
        <w:t xml:space="preserve"> targets for the Open Budget Index</w:t>
      </w:r>
      <w:r w:rsidR="00DE147D">
        <w:t xml:space="preserve"> (OBI) – for every one of the 125 OBI questions and every one of the eighteen (18) OBI sub-groupings. This is a step to meet eligibility conditions under the Open Government Partnership (OGP)</w:t>
      </w:r>
      <w:r w:rsidR="00DE147D">
        <w:rPr>
          <w:rStyle w:val="FootnoteReference"/>
        </w:rPr>
        <w:footnoteReference w:id="10"/>
      </w:r>
      <w:r w:rsidR="00DE147D">
        <w:t xml:space="preserve">. Aspirational targets under OBI are required to strengthen the Government’s capacity to defend its performance with ratings agencies. </w:t>
      </w:r>
    </w:p>
    <w:p w14:paraId="7C99E6E1" w14:textId="19E246EF" w:rsidR="00DE147D" w:rsidRPr="00DE147D" w:rsidRDefault="00E67775" w:rsidP="00DE147D">
      <w:pPr>
        <w:pStyle w:val="Numberedpara"/>
        <w:rPr>
          <w:bCs/>
          <w:szCs w:val="28"/>
        </w:rPr>
      </w:pPr>
      <w:r>
        <w:t xml:space="preserve"> </w:t>
      </w:r>
      <w:r w:rsidR="00DE147D" w:rsidRPr="00E67775">
        <w:rPr>
          <w:b/>
        </w:rPr>
        <w:fldChar w:fldCharType="begin"/>
      </w:r>
      <w:r w:rsidR="00DE147D" w:rsidRPr="00E67775">
        <w:rPr>
          <w:b/>
        </w:rPr>
        <w:instrText xml:space="preserve"> REF _Ref282947917 \n \h  \* MERGEFORMAT </w:instrText>
      </w:r>
      <w:r w:rsidR="00DE147D" w:rsidRPr="00E67775">
        <w:rPr>
          <w:b/>
        </w:rPr>
      </w:r>
      <w:r w:rsidR="00DE147D" w:rsidRPr="00E67775">
        <w:rPr>
          <w:b/>
        </w:rPr>
        <w:fldChar w:fldCharType="separate"/>
      </w:r>
      <w:r w:rsidR="00004C5E">
        <w:rPr>
          <w:b/>
        </w:rPr>
        <w:t>Figure 5</w:t>
      </w:r>
      <w:r w:rsidR="00DE147D" w:rsidRPr="00E67775">
        <w:rPr>
          <w:b/>
        </w:rPr>
        <w:fldChar w:fldCharType="end"/>
      </w:r>
      <w:r w:rsidR="00DE147D" w:rsidRPr="00E67775">
        <w:rPr>
          <w:b/>
        </w:rPr>
        <w:t xml:space="preserve"> </w:t>
      </w:r>
      <w:r w:rsidR="00DE147D" w:rsidRPr="00E67775">
        <w:rPr>
          <w:b/>
        </w:rPr>
        <w:fldChar w:fldCharType="begin"/>
      </w:r>
      <w:r w:rsidR="00DE147D" w:rsidRPr="00E67775">
        <w:rPr>
          <w:b/>
        </w:rPr>
        <w:instrText xml:space="preserve"> REF _Ref282947917 \p \h  \* MERGEFORMAT </w:instrText>
      </w:r>
      <w:r w:rsidR="00DE147D" w:rsidRPr="00E67775">
        <w:rPr>
          <w:b/>
        </w:rPr>
      </w:r>
      <w:r w:rsidR="00DE147D" w:rsidRPr="00E67775">
        <w:rPr>
          <w:b/>
        </w:rPr>
        <w:fldChar w:fldCharType="separate"/>
      </w:r>
      <w:r w:rsidR="00004C5E">
        <w:rPr>
          <w:b/>
        </w:rPr>
        <w:t>below</w:t>
      </w:r>
      <w:r w:rsidR="00DE147D" w:rsidRPr="00E67775">
        <w:rPr>
          <w:b/>
        </w:rPr>
        <w:fldChar w:fldCharType="end"/>
      </w:r>
      <w:r w:rsidR="00DE147D" w:rsidRPr="00E67775">
        <w:rPr>
          <w:b/>
        </w:rPr>
        <w:t xml:space="preserve"> reveals OBI trends since 2008</w:t>
      </w:r>
      <w:r w:rsidR="00DE147D" w:rsidRPr="0027479B">
        <w:t xml:space="preserve"> for Afghanistan and presents the</w:t>
      </w:r>
      <w:r w:rsidR="00DE147D">
        <w:t xml:space="preserve"> proposed</w:t>
      </w:r>
      <w:r w:rsidR="00DE147D" w:rsidRPr="0027479B">
        <w:t xml:space="preserve"> aspirational OBI targets</w:t>
      </w:r>
      <w:r w:rsidR="00DE147D">
        <w:t xml:space="preserve"> in green columns. For a complete list of the aspirational targets for each OBI, question and selected indicators under the upgraded PEFA see </w:t>
      </w:r>
      <w:r w:rsidR="00DE147D">
        <w:fldChar w:fldCharType="begin"/>
      </w:r>
      <w:r w:rsidR="00DE147D">
        <w:instrText xml:space="preserve"> REF _Ref428550122 \h </w:instrText>
      </w:r>
      <w:r w:rsidR="00DE147D">
        <w:fldChar w:fldCharType="separate"/>
      </w:r>
      <w:r w:rsidR="00004C5E">
        <w:rPr>
          <w:rStyle w:val="Emphasis"/>
        </w:rPr>
        <w:t>Attachment B</w:t>
      </w:r>
      <w:r w:rsidR="00004C5E" w:rsidRPr="00FE5C2E">
        <w:rPr>
          <w:rStyle w:val="Emphasis"/>
        </w:rPr>
        <w:t xml:space="preserve">: Aspirational and Guiding Targets </w:t>
      </w:r>
      <w:r w:rsidR="00004C5E">
        <w:t>to support Implemen</w:t>
      </w:r>
      <w:r w:rsidR="00004C5E" w:rsidRPr="00FE5C2E">
        <w:t>t</w:t>
      </w:r>
      <w:r w:rsidR="00004C5E">
        <w:t>at</w:t>
      </w:r>
      <w:r w:rsidR="00004C5E" w:rsidRPr="00FE5C2E">
        <w:t>ion of the PFMR-II</w:t>
      </w:r>
      <w:r w:rsidR="00DE147D">
        <w:fldChar w:fldCharType="end"/>
      </w:r>
      <w:r w:rsidR="00DE147D">
        <w:t>.</w:t>
      </w:r>
    </w:p>
    <w:p w14:paraId="1447FDCF" w14:textId="77777777" w:rsidR="00662D07" w:rsidRPr="00DD4FC6" w:rsidRDefault="00662D07" w:rsidP="00662D07">
      <w:pPr>
        <w:pStyle w:val="FigureHeader"/>
      </w:pPr>
      <w:bookmarkStart w:id="30" w:name="_Ref282947917"/>
      <w:bookmarkStart w:id="31" w:name="_Toc430414682"/>
      <w:bookmarkStart w:id="32" w:name="_Ref428551459"/>
      <w:bookmarkStart w:id="33" w:name="_Toc457162653"/>
      <w:r w:rsidRPr="00DD4FC6">
        <w:t>Aspirational Targets for Open Budget Index</w:t>
      </w:r>
      <w:bookmarkEnd w:id="30"/>
      <w:bookmarkEnd w:id="31"/>
      <w:bookmarkEnd w:id="33"/>
      <w:r w:rsidRPr="00DD4FC6">
        <w:t xml:space="preserve"> </w:t>
      </w:r>
      <w:bookmarkEnd w:id="32"/>
    </w:p>
    <w:p w14:paraId="28E0B0F6" w14:textId="6DD57F9D" w:rsidR="00662D07" w:rsidRDefault="00662D07" w:rsidP="00DE147D">
      <w:pPr>
        <w:spacing w:before="120" w:after="120"/>
        <w:rPr>
          <w:b/>
          <w:bCs/>
          <w:szCs w:val="28"/>
        </w:rPr>
      </w:pPr>
      <w:r>
        <w:rPr>
          <w:noProof/>
        </w:rPr>
        <w:drawing>
          <wp:inline distT="0" distB="0" distL="0" distR="0" wp14:anchorId="1C8BA005" wp14:editId="3386982A">
            <wp:extent cx="5486400" cy="3585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3585210"/>
                    </a:xfrm>
                    <a:prstGeom prst="rect">
                      <a:avLst/>
                    </a:prstGeom>
                  </pic:spPr>
                </pic:pic>
              </a:graphicData>
            </a:graphic>
          </wp:inline>
        </w:drawing>
      </w:r>
    </w:p>
    <w:p w14:paraId="328D8BAB" w14:textId="77777777" w:rsidR="00DE147D" w:rsidRPr="0061064E" w:rsidRDefault="00DE147D" w:rsidP="00662D07">
      <w:pPr>
        <w:rPr>
          <w:b/>
          <w:bCs/>
          <w:szCs w:val="28"/>
        </w:rPr>
      </w:pPr>
    </w:p>
    <w:p w14:paraId="4EF1A123" w14:textId="4B61F1BA" w:rsidR="00662D07" w:rsidRPr="0061064E" w:rsidRDefault="00D734C9" w:rsidP="00EC65C8">
      <w:pPr>
        <w:pStyle w:val="Numberedpara"/>
        <w:rPr>
          <w:bCs/>
          <w:szCs w:val="28"/>
        </w:rPr>
      </w:pPr>
      <w:r>
        <w:rPr>
          <w:b/>
        </w:rPr>
        <w:t xml:space="preserve"> </w:t>
      </w:r>
      <w:r w:rsidR="00CA7DE5">
        <w:rPr>
          <w:b/>
        </w:rPr>
        <w:t>OBI groupings</w:t>
      </w:r>
      <w:r w:rsidR="00C37B0A">
        <w:rPr>
          <w:b/>
        </w:rPr>
        <w:t xml:space="preserve"> assigned to</w:t>
      </w:r>
      <w:r w:rsidR="00662D07" w:rsidRPr="0061064E">
        <w:rPr>
          <w:b/>
        </w:rPr>
        <w:t xml:space="preserve"> teams</w:t>
      </w:r>
      <w:r w:rsidR="00CA7DE5">
        <w:t xml:space="preserve"> can be seen</w:t>
      </w:r>
      <w:r w:rsidR="00662D07">
        <w:t xml:space="preserve"> </w:t>
      </w:r>
      <w:r w:rsidR="00662D07">
        <w:fldChar w:fldCharType="begin"/>
      </w:r>
      <w:r w:rsidR="00662D07">
        <w:instrText xml:space="preserve"> REF _Ref428551459 \n \h </w:instrText>
      </w:r>
      <w:r w:rsidR="00662D07">
        <w:fldChar w:fldCharType="separate"/>
      </w:r>
      <w:r w:rsidR="00004C5E">
        <w:t>Figure 5</w:t>
      </w:r>
      <w:r w:rsidR="00662D07">
        <w:fldChar w:fldCharType="end"/>
      </w:r>
      <w:r w:rsidR="00CA7DE5">
        <w:t>, along with</w:t>
      </w:r>
      <w:r w:rsidR="00662D07">
        <w:t xml:space="preserve"> relevant question</w:t>
      </w:r>
      <w:r w:rsidR="00CA7DE5">
        <w:t>s for the MoF and other</w:t>
      </w:r>
      <w:r w:rsidR="00662D07">
        <w:t xml:space="preserve"> agencies / ministries. These targets and the </w:t>
      </w:r>
      <w:r w:rsidR="00662D07">
        <w:lastRenderedPageBreak/>
        <w:t xml:space="preserve">actions needed to achieve </w:t>
      </w:r>
      <w:r w:rsidR="00CA7DE5">
        <w:t>the targets are part of the</w:t>
      </w:r>
      <w:r w:rsidR="00662D07">
        <w:t xml:space="preserve"> rolling ove</w:t>
      </w:r>
      <w:r w:rsidR="00662D07" w:rsidRPr="0061064E">
        <w:t>r of - and any adjustments to - the 5-year plan</w:t>
      </w:r>
      <w:r w:rsidR="00662D07">
        <w:t>s</w:t>
      </w:r>
      <w:r w:rsidR="007D34A9">
        <w:t xml:space="preserve"> in 2017</w:t>
      </w:r>
      <w:r w:rsidR="00662D07" w:rsidRPr="0061064E">
        <w:t>.</w:t>
      </w:r>
      <w:r w:rsidR="0019291B">
        <w:t xml:space="preserve"> </w:t>
      </w:r>
    </w:p>
    <w:p w14:paraId="26BF9867" w14:textId="482BC761" w:rsidR="00662D07" w:rsidRPr="00692643" w:rsidRDefault="00C37B0A" w:rsidP="00EC65C8">
      <w:pPr>
        <w:pStyle w:val="Numberedpara"/>
        <w:rPr>
          <w:bCs/>
          <w:szCs w:val="28"/>
        </w:rPr>
      </w:pPr>
      <w:r>
        <w:t xml:space="preserve"> </w:t>
      </w:r>
      <w:r w:rsidR="00662D07" w:rsidRPr="00C37B0A">
        <w:rPr>
          <w:b/>
        </w:rPr>
        <w:fldChar w:fldCharType="begin"/>
      </w:r>
      <w:r w:rsidR="00662D07" w:rsidRPr="00C37B0A">
        <w:rPr>
          <w:b/>
        </w:rPr>
        <w:instrText xml:space="preserve"> REF _Ref282947946 \n \h  \* MERGEFORMAT </w:instrText>
      </w:r>
      <w:r w:rsidR="00662D07" w:rsidRPr="00C37B0A">
        <w:rPr>
          <w:b/>
        </w:rPr>
      </w:r>
      <w:r w:rsidR="00662D07" w:rsidRPr="00C37B0A">
        <w:rPr>
          <w:b/>
        </w:rPr>
        <w:fldChar w:fldCharType="separate"/>
      </w:r>
      <w:r w:rsidR="00004C5E">
        <w:rPr>
          <w:b/>
        </w:rPr>
        <w:t>Figure 6</w:t>
      </w:r>
      <w:r w:rsidR="00662D07" w:rsidRPr="00C37B0A">
        <w:rPr>
          <w:b/>
        </w:rPr>
        <w:fldChar w:fldCharType="end"/>
      </w:r>
      <w:r w:rsidR="00662D07" w:rsidRPr="00C37B0A">
        <w:rPr>
          <w:b/>
        </w:rPr>
        <w:t xml:space="preserve"> </w:t>
      </w:r>
      <w:r w:rsidR="00662D07" w:rsidRPr="00C37B0A">
        <w:rPr>
          <w:b/>
        </w:rPr>
        <w:fldChar w:fldCharType="begin"/>
      </w:r>
      <w:r w:rsidR="00662D07" w:rsidRPr="00C37B0A">
        <w:rPr>
          <w:b/>
        </w:rPr>
        <w:instrText xml:space="preserve"> REF _Ref282947946 \p \h  \* MERGEFORMAT </w:instrText>
      </w:r>
      <w:r w:rsidR="00662D07" w:rsidRPr="00C37B0A">
        <w:rPr>
          <w:b/>
        </w:rPr>
      </w:r>
      <w:r w:rsidR="00662D07" w:rsidRPr="00C37B0A">
        <w:rPr>
          <w:b/>
        </w:rPr>
        <w:fldChar w:fldCharType="separate"/>
      </w:r>
      <w:r w:rsidR="00004C5E">
        <w:rPr>
          <w:b/>
        </w:rPr>
        <w:t>below</w:t>
      </w:r>
      <w:r w:rsidR="00662D07" w:rsidRPr="00C37B0A">
        <w:rPr>
          <w:b/>
        </w:rPr>
        <w:fldChar w:fldCharType="end"/>
      </w:r>
      <w:r w:rsidR="00662D07" w:rsidRPr="00C37B0A">
        <w:rPr>
          <w:b/>
        </w:rPr>
        <w:t xml:space="preserve"> presents aspirational targets for Statistical Capacities along with trends in Statistical Capacity Indicators since 2005. </w:t>
      </w:r>
      <w:r w:rsidR="00662D07">
        <w:t xml:space="preserve">All three areas </w:t>
      </w:r>
      <w:r w:rsidR="00CA7DE5">
        <w:t>are targets</w:t>
      </w:r>
      <w:r w:rsidR="00662D07">
        <w:t xml:space="preserve"> for improvement. Further work with </w:t>
      </w:r>
      <w:r w:rsidR="0019291B">
        <w:t xml:space="preserve">the statistics agencies and </w:t>
      </w:r>
      <w:r w:rsidR="00662D07">
        <w:t xml:space="preserve">line ministries on performance management will enable prioritization of missing areas in statistical capacities. For a complete list of the aspirational targets for each statistical capacity indictor theme question see </w:t>
      </w:r>
      <w:r w:rsidR="00662D07">
        <w:fldChar w:fldCharType="begin"/>
      </w:r>
      <w:r w:rsidR="00662D07">
        <w:instrText xml:space="preserve"> REF _Ref428550122 \h </w:instrText>
      </w:r>
      <w:r w:rsidR="00662D07">
        <w:fldChar w:fldCharType="separate"/>
      </w:r>
      <w:r w:rsidR="00004C5E">
        <w:rPr>
          <w:rStyle w:val="Emphasis"/>
        </w:rPr>
        <w:t>Attachment B</w:t>
      </w:r>
      <w:r w:rsidR="00004C5E" w:rsidRPr="00FE5C2E">
        <w:rPr>
          <w:rStyle w:val="Emphasis"/>
        </w:rPr>
        <w:t xml:space="preserve">: Aspirational and Guiding Targets </w:t>
      </w:r>
      <w:r w:rsidR="00004C5E">
        <w:t>to support Implemen</w:t>
      </w:r>
      <w:r w:rsidR="00004C5E" w:rsidRPr="00FE5C2E">
        <w:t>t</w:t>
      </w:r>
      <w:r w:rsidR="00004C5E">
        <w:t>at</w:t>
      </w:r>
      <w:r w:rsidR="00004C5E" w:rsidRPr="00FE5C2E">
        <w:t>ion of the PFMR-II</w:t>
      </w:r>
      <w:r w:rsidR="00662D07">
        <w:fldChar w:fldCharType="end"/>
      </w:r>
      <w:r w:rsidR="00662D07">
        <w:t>.</w:t>
      </w:r>
    </w:p>
    <w:p w14:paraId="1F467559" w14:textId="77777777" w:rsidR="00662D07" w:rsidRPr="0003527D" w:rsidRDefault="00662D07" w:rsidP="00662D07">
      <w:pPr>
        <w:pStyle w:val="FigureHeader"/>
      </w:pPr>
      <w:bookmarkStart w:id="34" w:name="_Ref282947946"/>
      <w:bookmarkStart w:id="35" w:name="_Toc430414683"/>
      <w:bookmarkStart w:id="36" w:name="_Toc457162654"/>
      <w:r w:rsidRPr="0003527D">
        <w:t>Aspirational Targets for Statistical Capacities</w:t>
      </w:r>
      <w:bookmarkEnd w:id="34"/>
      <w:bookmarkEnd w:id="35"/>
      <w:bookmarkEnd w:id="36"/>
    </w:p>
    <w:p w14:paraId="6D108735" w14:textId="77777777" w:rsidR="00662D07" w:rsidRDefault="00662D07" w:rsidP="00662D07">
      <w:pPr>
        <w:rPr>
          <w:b/>
          <w:bCs/>
          <w:szCs w:val="28"/>
        </w:rPr>
      </w:pPr>
      <w:r>
        <w:rPr>
          <w:noProof/>
        </w:rPr>
        <w:drawing>
          <wp:inline distT="0" distB="0" distL="0" distR="0" wp14:anchorId="4D884D83" wp14:editId="5B8F32CB">
            <wp:extent cx="5692291" cy="2387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5390" cy="2388900"/>
                    </a:xfrm>
                    <a:prstGeom prst="rect">
                      <a:avLst/>
                    </a:prstGeom>
                  </pic:spPr>
                </pic:pic>
              </a:graphicData>
            </a:graphic>
          </wp:inline>
        </w:drawing>
      </w:r>
    </w:p>
    <w:p w14:paraId="2E1FFF15" w14:textId="77777777" w:rsidR="00662D07" w:rsidRPr="00CC47DF" w:rsidRDefault="00662D07" w:rsidP="00662D07">
      <w:pPr>
        <w:pStyle w:val="FigureHeader"/>
        <w:rPr>
          <w:szCs w:val="28"/>
        </w:rPr>
      </w:pPr>
      <w:bookmarkStart w:id="37" w:name="_Ref282947957"/>
      <w:bookmarkStart w:id="38" w:name="_Toc430414684"/>
      <w:bookmarkStart w:id="39" w:name="_Toc457162655"/>
      <w:r w:rsidRPr="00CC47DF">
        <w:t>Doing Business: Proposed Aspirational Rank</w:t>
      </w:r>
      <w:bookmarkEnd w:id="37"/>
      <w:r>
        <w:t>s (100 Best)</w:t>
      </w:r>
      <w:bookmarkEnd w:id="38"/>
      <w:bookmarkEnd w:id="39"/>
    </w:p>
    <w:p w14:paraId="62455FA6" w14:textId="323197DA" w:rsidR="00662D07" w:rsidRDefault="00662D07" w:rsidP="008168B1">
      <w:pPr>
        <w:pStyle w:val="NoSpacing"/>
        <w:rPr>
          <w:bCs/>
          <w:szCs w:val="28"/>
        </w:rPr>
      </w:pPr>
      <w:r>
        <w:rPr>
          <w:noProof/>
          <w:lang w:val="en-US"/>
        </w:rPr>
        <w:drawing>
          <wp:inline distT="0" distB="0" distL="0" distR="0" wp14:anchorId="3C12113F" wp14:editId="17F14C6A">
            <wp:extent cx="5711825" cy="282194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3806" cy="2837740"/>
                    </a:xfrm>
                    <a:prstGeom prst="rect">
                      <a:avLst/>
                    </a:prstGeom>
                  </pic:spPr>
                </pic:pic>
              </a:graphicData>
            </a:graphic>
          </wp:inline>
        </w:drawing>
      </w:r>
    </w:p>
    <w:p w14:paraId="08B10C9D" w14:textId="5F042034" w:rsidR="003B7361" w:rsidRPr="0033344D" w:rsidRDefault="003B7361" w:rsidP="003B7361">
      <w:pPr>
        <w:pStyle w:val="Numberedpara"/>
        <w:numPr>
          <w:ilvl w:val="0"/>
          <w:numId w:val="0"/>
        </w:numPr>
        <w:rPr>
          <w:bCs/>
          <w:szCs w:val="28"/>
        </w:rPr>
      </w:pPr>
    </w:p>
    <w:p w14:paraId="0B3D9730" w14:textId="1DFFB84C" w:rsidR="003B7361" w:rsidRPr="0027479B" w:rsidRDefault="003B7361" w:rsidP="003B7361">
      <w:pPr>
        <w:pStyle w:val="Numberedpara"/>
        <w:rPr>
          <w:bCs/>
          <w:szCs w:val="28"/>
        </w:rPr>
      </w:pPr>
      <w:r>
        <w:rPr>
          <w:b/>
        </w:rPr>
        <w:t xml:space="preserve"> </w:t>
      </w:r>
      <w:r w:rsidRPr="00747C62">
        <w:rPr>
          <w:b/>
        </w:rPr>
        <w:t xml:space="preserve">Two components of Doing Business are believed to be particularly </w:t>
      </w:r>
      <w:r w:rsidRPr="00140BD6">
        <w:rPr>
          <w:b/>
        </w:rPr>
        <w:t>relevant as potential aspirational targets</w:t>
      </w:r>
      <w:r>
        <w:t xml:space="preserve"> – those areas that assess how hard (or how easy) it is to do business because of </w:t>
      </w:r>
      <w:r w:rsidRPr="00083897">
        <w:rPr>
          <w:i/>
        </w:rPr>
        <w:t xml:space="preserve">Tax and Customs </w:t>
      </w:r>
      <w:r>
        <w:rPr>
          <w:i/>
        </w:rPr>
        <w:t>S</w:t>
      </w:r>
      <w:r w:rsidRPr="00083897">
        <w:rPr>
          <w:i/>
        </w:rPr>
        <w:t>ystems</w:t>
      </w:r>
      <w:r w:rsidRPr="00083897">
        <w:t>.</w:t>
      </w:r>
      <w:r>
        <w:t xml:space="preserve"> The trends and proposed targets for these two areas are in </w:t>
      </w:r>
      <w:r w:rsidRPr="00A440F3">
        <w:fldChar w:fldCharType="begin"/>
      </w:r>
      <w:r w:rsidRPr="00A440F3">
        <w:instrText xml:space="preserve"> REF _Ref282947957 \n \h </w:instrText>
      </w:r>
      <w:r w:rsidRPr="00A440F3">
        <w:fldChar w:fldCharType="separate"/>
      </w:r>
      <w:r w:rsidR="00004C5E">
        <w:t>Figure 7</w:t>
      </w:r>
      <w:r w:rsidRPr="00A440F3">
        <w:fldChar w:fldCharType="end"/>
      </w:r>
      <w:r>
        <w:t xml:space="preserve"> below. </w:t>
      </w:r>
      <w:r w:rsidRPr="00A440F3">
        <w:lastRenderedPageBreak/>
        <w:fldChar w:fldCharType="begin"/>
      </w:r>
      <w:r w:rsidRPr="00A440F3">
        <w:instrText xml:space="preserve"> REF _Ref282947973 \n \h </w:instrText>
      </w:r>
      <w:r w:rsidRPr="00A440F3">
        <w:fldChar w:fldCharType="separate"/>
      </w:r>
      <w:r w:rsidR="00004C5E">
        <w:t>Table 3</w:t>
      </w:r>
      <w:r w:rsidRPr="00A440F3">
        <w:fldChar w:fldCharType="end"/>
      </w:r>
      <w:r>
        <w:t xml:space="preserve"> also gives the underlying data that determines scores and Distances to Frontiers (DTF), where 100 is best and 0 is worst</w:t>
      </w:r>
      <w:r w:rsidRPr="00747C62">
        <w:rPr>
          <w:bCs/>
          <w:szCs w:val="28"/>
        </w:rPr>
        <w:t>.</w:t>
      </w:r>
      <w:r>
        <w:rPr>
          <w:bCs/>
          <w:szCs w:val="28"/>
        </w:rPr>
        <w:t xml:space="preserve"> </w:t>
      </w:r>
    </w:p>
    <w:p w14:paraId="3A451CA5" w14:textId="7D29365E" w:rsidR="008041D0" w:rsidRDefault="00662D07" w:rsidP="008168B1">
      <w:pPr>
        <w:pStyle w:val="Numberedpara"/>
      </w:pPr>
      <w:r w:rsidRPr="008168B1">
        <w:rPr>
          <w:b/>
        </w:rPr>
        <w:t>Setting targets for tax in a country like Afghanistan has its difficulties</w:t>
      </w:r>
      <w:r w:rsidR="00CA7DE5">
        <w:t>, since low tax is</w:t>
      </w:r>
      <w:r>
        <w:t xml:space="preserve"> good for business by “Doing Business</w:t>
      </w:r>
      <w:r w:rsidR="00266A1F">
        <w:t>”</w:t>
      </w:r>
      <w:r w:rsidR="000562CF">
        <w:t xml:space="preserve"> metrics</w:t>
      </w:r>
      <w:r>
        <w:t xml:space="preserve"> and good for attracting foreign investors. However, it is also bad for revenue generation and more importantly </w:t>
      </w:r>
      <w:r w:rsidR="00FE56E3">
        <w:t xml:space="preserve">potentially </w:t>
      </w:r>
      <w:r>
        <w:t>bad for accountability systems in a country</w:t>
      </w:r>
      <w:r w:rsidR="00266A1F">
        <w:t xml:space="preserve"> if tax is too low. T</w:t>
      </w:r>
      <w:r>
        <w:t>arget levels were reviewed against other countries and it was felt the ta</w:t>
      </w:r>
      <w:r w:rsidR="008041D0">
        <w:t>x system in Afghanistan could</w:t>
      </w:r>
      <w:r>
        <w:t xml:space="preserve"> be more onerous on business as it is rated as very lenient- a</w:t>
      </w:r>
      <w:r w:rsidR="000562CF">
        <w:t>rguably too lenient -</w:t>
      </w:r>
      <w:r>
        <w:t xml:space="preserve"> with zero scores against profit and labou</w:t>
      </w:r>
      <w:r w:rsidR="000562CF">
        <w:t>r taxes. In addition, the Presidential Assessment</w:t>
      </w:r>
      <w:r>
        <w:t xml:space="preserve"> </w:t>
      </w:r>
      <w:r w:rsidR="008041D0">
        <w:t xml:space="preserve">(GoIRA, 2015) </w:t>
      </w:r>
      <w:r>
        <w:t>revealed very low levels of tax take</w:t>
      </w:r>
      <w:r w:rsidR="008041D0">
        <w:t xml:space="preserve"> relative to other comparable countries</w:t>
      </w:r>
      <w:r>
        <w:t xml:space="preserve">. This implies that widening and deepening the tax base through better reach, increased enforcement and new taxes are all viable reforms and policy positions. </w:t>
      </w:r>
      <w:r w:rsidR="00CA7DE5">
        <w:t xml:space="preserve">Reviews of </w:t>
      </w:r>
      <w:r>
        <w:t xml:space="preserve">Tax targets will be </w:t>
      </w:r>
      <w:r w:rsidR="00CA7DE5">
        <w:t xml:space="preserve">included </w:t>
      </w:r>
      <w:r>
        <w:t xml:space="preserve">in </w:t>
      </w:r>
      <w:r w:rsidR="00CA7DE5">
        <w:t xml:space="preserve">the </w:t>
      </w:r>
      <w:r w:rsidR="008041D0">
        <w:t>mid-year and annual performance assessments</w:t>
      </w:r>
      <w:r>
        <w:t xml:space="preserve">. </w:t>
      </w:r>
    </w:p>
    <w:p w14:paraId="56BA8F89" w14:textId="77777777" w:rsidR="00662D07" w:rsidRDefault="00662D07" w:rsidP="00662D07">
      <w:pPr>
        <w:pStyle w:val="FigureHeader"/>
      </w:pPr>
      <w:bookmarkStart w:id="40" w:name="_Toc430414685"/>
      <w:bookmarkStart w:id="41" w:name="_Toc457162656"/>
      <w:r>
        <w:t>Trends in Tax Collection – Selected Comparators</w:t>
      </w:r>
      <w:bookmarkEnd w:id="40"/>
      <w:bookmarkEnd w:id="41"/>
    </w:p>
    <w:p w14:paraId="4E216DC9" w14:textId="77777777" w:rsidR="00662D07" w:rsidRDefault="00662D07" w:rsidP="00662D07">
      <w:r>
        <w:rPr>
          <w:noProof/>
        </w:rPr>
        <w:drawing>
          <wp:inline distT="0" distB="0" distL="0" distR="0" wp14:anchorId="6F0E6DD1" wp14:editId="431CBAF4">
            <wp:extent cx="5734050" cy="2961640"/>
            <wp:effectExtent l="0" t="0" r="63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5125" cy="2972525"/>
                    </a:xfrm>
                    <a:prstGeom prst="rect">
                      <a:avLst/>
                    </a:prstGeom>
                  </pic:spPr>
                </pic:pic>
              </a:graphicData>
            </a:graphic>
          </wp:inline>
        </w:drawing>
      </w:r>
    </w:p>
    <w:p w14:paraId="737D8AE3" w14:textId="352B4488" w:rsidR="00662D07" w:rsidRDefault="00662D07" w:rsidP="00662D07">
      <w:pPr>
        <w:rPr>
          <w:rFonts w:asciiTheme="majorHAnsi" w:hAnsiTheme="majorHAnsi"/>
          <w:i/>
          <w:sz w:val="18"/>
        </w:rPr>
      </w:pPr>
      <w:r w:rsidRPr="005409AE">
        <w:rPr>
          <w:rFonts w:asciiTheme="majorHAnsi" w:hAnsiTheme="majorHAnsi"/>
          <w:i/>
          <w:sz w:val="18"/>
        </w:rPr>
        <w:t>Source: WDI</w:t>
      </w:r>
    </w:p>
    <w:p w14:paraId="57F0F850" w14:textId="77777777" w:rsidR="00DE147D" w:rsidRDefault="00DE147D" w:rsidP="00662D07">
      <w:pPr>
        <w:rPr>
          <w:rFonts w:asciiTheme="majorHAnsi" w:hAnsiTheme="majorHAnsi"/>
          <w:i/>
          <w:sz w:val="18"/>
        </w:rPr>
      </w:pPr>
    </w:p>
    <w:p w14:paraId="4CF832E4" w14:textId="2B0460B0" w:rsidR="00DE147D" w:rsidRDefault="008041D0" w:rsidP="00EC65C8">
      <w:pPr>
        <w:pStyle w:val="Numberedpara"/>
      </w:pPr>
      <w:r>
        <w:rPr>
          <w:b/>
        </w:rPr>
        <w:t xml:space="preserve"> </w:t>
      </w:r>
      <w:r w:rsidR="00662D07" w:rsidRPr="003C4E46">
        <w:rPr>
          <w:b/>
        </w:rPr>
        <w:t xml:space="preserve">For Customs, </w:t>
      </w:r>
      <w:r w:rsidR="00662D07">
        <w:rPr>
          <w:b/>
        </w:rPr>
        <w:t xml:space="preserve">initial </w:t>
      </w:r>
      <w:r w:rsidR="00662D07" w:rsidRPr="003C4E46">
        <w:rPr>
          <w:b/>
        </w:rPr>
        <w:t xml:space="preserve">aspirational targets to reduce times and costs to export and import </w:t>
      </w:r>
      <w:r w:rsidR="00662D07">
        <w:rPr>
          <w:b/>
        </w:rPr>
        <w:t xml:space="preserve">are </w:t>
      </w:r>
      <w:r w:rsidR="00662D07" w:rsidRPr="003C4E46">
        <w:rPr>
          <w:b/>
        </w:rPr>
        <w:t xml:space="preserve">proposed </w:t>
      </w:r>
      <w:r w:rsidR="00662D07" w:rsidRPr="003C4E46">
        <w:t xml:space="preserve">against current Doing Business methodologies (see </w:t>
      </w:r>
      <w:r w:rsidR="00662D07" w:rsidRPr="00A440F3">
        <w:fldChar w:fldCharType="begin"/>
      </w:r>
      <w:r w:rsidR="00662D07" w:rsidRPr="00A440F3">
        <w:instrText xml:space="preserve"> REF _Ref282947973 \n \h </w:instrText>
      </w:r>
      <w:r w:rsidR="00662D07" w:rsidRPr="00A440F3">
        <w:fldChar w:fldCharType="separate"/>
      </w:r>
      <w:r w:rsidR="00004C5E">
        <w:t>Table 3</w:t>
      </w:r>
      <w:r w:rsidR="00662D07" w:rsidRPr="00A440F3">
        <w:fldChar w:fldCharType="end"/>
      </w:r>
      <w:r w:rsidR="00662D07">
        <w:t xml:space="preserve">). While “doing business” changes its methodologies generally every year, making it difficult to set medium term targets, aspirational and general targets are still possible. As in the case of Customs, reducing the cost and time taken to import and export are important goals. The problems emerge, when the international goal posts for calculation keep moving. </w:t>
      </w:r>
    </w:p>
    <w:p w14:paraId="47AB06DA" w14:textId="67393220" w:rsidR="00662D07" w:rsidRDefault="00D734C9" w:rsidP="00EC65C8">
      <w:pPr>
        <w:pStyle w:val="Numberedpara"/>
      </w:pPr>
      <w:r>
        <w:t xml:space="preserve"> </w:t>
      </w:r>
      <w:r w:rsidR="00662D07" w:rsidRPr="00D734C9">
        <w:rPr>
          <w:b/>
        </w:rPr>
        <w:fldChar w:fldCharType="begin"/>
      </w:r>
      <w:r w:rsidR="00662D07" w:rsidRPr="00D734C9">
        <w:rPr>
          <w:b/>
        </w:rPr>
        <w:instrText xml:space="preserve"> REF _Ref282947983 \n \h </w:instrText>
      </w:r>
      <w:r>
        <w:rPr>
          <w:b/>
        </w:rPr>
        <w:instrText xml:space="preserve"> \* MERGEFORMAT </w:instrText>
      </w:r>
      <w:r w:rsidR="00662D07" w:rsidRPr="00D734C9">
        <w:rPr>
          <w:b/>
        </w:rPr>
      </w:r>
      <w:r w:rsidR="00662D07" w:rsidRPr="00D734C9">
        <w:rPr>
          <w:b/>
        </w:rPr>
        <w:fldChar w:fldCharType="separate"/>
      </w:r>
      <w:r w:rsidR="00004C5E">
        <w:rPr>
          <w:b/>
        </w:rPr>
        <w:t>Table 5</w:t>
      </w:r>
      <w:r w:rsidR="00662D07" w:rsidRPr="00D734C9">
        <w:rPr>
          <w:b/>
        </w:rPr>
        <w:fldChar w:fldCharType="end"/>
      </w:r>
      <w:r w:rsidR="00662D07" w:rsidRPr="00D734C9">
        <w:rPr>
          <w:b/>
        </w:rPr>
        <w:t xml:space="preserve"> provides the status of custom clearance times and documents with the target reduction in time taken.</w:t>
      </w:r>
      <w:r w:rsidR="00662D07">
        <w:t xml:space="preserve"> </w:t>
      </w:r>
      <w:r w:rsidR="00CA7DE5">
        <w:t xml:space="preserve">We chose </w:t>
      </w:r>
      <w:r w:rsidR="00662D07">
        <w:t>Paki</w:t>
      </w:r>
      <w:r w:rsidR="00CA7DE5">
        <w:t>stan, India and Iran</w:t>
      </w:r>
      <w:r w:rsidR="00662D07">
        <w:t xml:space="preserve"> as comparators for benchmarking purposes – </w:t>
      </w:r>
      <w:r w:rsidR="00CA7DE5">
        <w:t xml:space="preserve">they are </w:t>
      </w:r>
      <w:r w:rsidR="00662D07">
        <w:t xml:space="preserve">particularly relevant as core trading partners. </w:t>
      </w:r>
      <w:r w:rsidR="00CA7DE5">
        <w:t xml:space="preserve">A review of </w:t>
      </w:r>
      <w:r w:rsidR="00662D07">
        <w:t xml:space="preserve">Customs targets will be </w:t>
      </w:r>
      <w:r w:rsidR="00CA7DE5">
        <w:t>included</w:t>
      </w:r>
      <w:r w:rsidR="00662D07">
        <w:t xml:space="preserve"> in </w:t>
      </w:r>
      <w:r w:rsidR="00CA7DE5">
        <w:t xml:space="preserve">the </w:t>
      </w:r>
      <w:r w:rsidR="008041D0">
        <w:t>mid-year and annual performance assessments</w:t>
      </w:r>
      <w:r w:rsidR="00662D07">
        <w:t>.</w:t>
      </w:r>
    </w:p>
    <w:p w14:paraId="0732B1EA" w14:textId="74FE6395" w:rsidR="00662D07" w:rsidRPr="00CC47DF" w:rsidRDefault="00662D07" w:rsidP="00DE147D">
      <w:pPr>
        <w:pStyle w:val="TableHeader1"/>
      </w:pPr>
      <w:bookmarkStart w:id="42" w:name="_Ref282947973"/>
      <w:bookmarkStart w:id="43" w:name="_Toc430414670"/>
      <w:bookmarkStart w:id="44" w:name="_Toc457162635"/>
      <w:r w:rsidRPr="00CC47DF">
        <w:lastRenderedPageBreak/>
        <w:t>DB Taxes &amp; Customs: Proposed Aspirational Targets</w:t>
      </w:r>
      <w:bookmarkEnd w:id="42"/>
      <w:r w:rsidRPr="00CC47DF">
        <w:t xml:space="preserve"> (100 Best)</w:t>
      </w:r>
      <w:bookmarkEnd w:id="43"/>
      <w:bookmarkEnd w:id="44"/>
    </w:p>
    <w:tbl>
      <w:tblPr>
        <w:tblW w:w="5007" w:type="pct"/>
        <w:tblLayout w:type="fixed"/>
        <w:tblLook w:val="04A0" w:firstRow="1" w:lastRow="0" w:firstColumn="1" w:lastColumn="0" w:noHBand="0" w:noVBand="1"/>
      </w:tblPr>
      <w:tblGrid>
        <w:gridCol w:w="862"/>
        <w:gridCol w:w="1945"/>
        <w:gridCol w:w="888"/>
        <w:gridCol w:w="888"/>
        <w:gridCol w:w="888"/>
        <w:gridCol w:w="888"/>
        <w:gridCol w:w="888"/>
        <w:gridCol w:w="888"/>
        <w:gridCol w:w="888"/>
      </w:tblGrid>
      <w:tr w:rsidR="00662D07" w:rsidRPr="0003527D" w14:paraId="07FBF0B9" w14:textId="77777777" w:rsidTr="00FF1158">
        <w:trPr>
          <w:trHeight w:val="20"/>
        </w:trPr>
        <w:tc>
          <w:tcPr>
            <w:tcW w:w="1556" w:type="pct"/>
            <w:gridSpan w:val="2"/>
            <w:tcBorders>
              <w:top w:val="single" w:sz="4" w:space="0" w:color="auto"/>
              <w:left w:val="single" w:sz="4" w:space="0" w:color="auto"/>
              <w:bottom w:val="single" w:sz="4" w:space="0" w:color="auto"/>
              <w:right w:val="single" w:sz="4" w:space="0" w:color="auto"/>
            </w:tcBorders>
            <w:shd w:val="clear" w:color="auto" w:fill="75BB6E" w:themeFill="accent4"/>
            <w:vAlign w:val="center"/>
            <w:hideMark/>
          </w:tcPr>
          <w:p w14:paraId="3EE013E2"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Year/DB Component und MoF Influence</w:t>
            </w:r>
          </w:p>
        </w:tc>
        <w:tc>
          <w:tcPr>
            <w:tcW w:w="492" w:type="pct"/>
            <w:tcBorders>
              <w:top w:val="single" w:sz="4" w:space="0" w:color="auto"/>
              <w:left w:val="single" w:sz="4" w:space="0" w:color="auto"/>
              <w:bottom w:val="single" w:sz="4" w:space="0" w:color="auto"/>
              <w:right w:val="single" w:sz="4" w:space="0" w:color="auto"/>
            </w:tcBorders>
            <w:shd w:val="clear" w:color="auto" w:fill="75BB6E" w:themeFill="accent4"/>
            <w:vAlign w:val="center"/>
            <w:hideMark/>
          </w:tcPr>
          <w:p w14:paraId="35678F95"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2010</w:t>
            </w:r>
          </w:p>
        </w:tc>
        <w:tc>
          <w:tcPr>
            <w:tcW w:w="492" w:type="pct"/>
            <w:tcBorders>
              <w:top w:val="single" w:sz="4" w:space="0" w:color="auto"/>
              <w:left w:val="single" w:sz="4" w:space="0" w:color="auto"/>
              <w:bottom w:val="single" w:sz="4" w:space="0" w:color="auto"/>
              <w:right w:val="single" w:sz="4" w:space="0" w:color="auto"/>
            </w:tcBorders>
            <w:shd w:val="clear" w:color="auto" w:fill="75BB6E" w:themeFill="accent4"/>
            <w:vAlign w:val="center"/>
            <w:hideMark/>
          </w:tcPr>
          <w:p w14:paraId="60FC0FBC"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2011</w:t>
            </w:r>
          </w:p>
        </w:tc>
        <w:tc>
          <w:tcPr>
            <w:tcW w:w="492" w:type="pct"/>
            <w:tcBorders>
              <w:top w:val="single" w:sz="4" w:space="0" w:color="auto"/>
              <w:left w:val="single" w:sz="4" w:space="0" w:color="auto"/>
              <w:bottom w:val="single" w:sz="4" w:space="0" w:color="auto"/>
              <w:right w:val="single" w:sz="4" w:space="0" w:color="auto"/>
            </w:tcBorders>
            <w:shd w:val="clear" w:color="auto" w:fill="75BB6E" w:themeFill="accent4"/>
            <w:vAlign w:val="center"/>
            <w:hideMark/>
          </w:tcPr>
          <w:p w14:paraId="40F47983"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2012</w:t>
            </w:r>
          </w:p>
        </w:tc>
        <w:tc>
          <w:tcPr>
            <w:tcW w:w="492" w:type="pct"/>
            <w:tcBorders>
              <w:top w:val="single" w:sz="4" w:space="0" w:color="auto"/>
              <w:left w:val="single" w:sz="4" w:space="0" w:color="auto"/>
              <w:bottom w:val="single" w:sz="4" w:space="0" w:color="auto"/>
              <w:right w:val="single" w:sz="4" w:space="0" w:color="auto"/>
            </w:tcBorders>
            <w:shd w:val="clear" w:color="auto" w:fill="75BB6E" w:themeFill="accent4"/>
            <w:vAlign w:val="center"/>
            <w:hideMark/>
          </w:tcPr>
          <w:p w14:paraId="7DE664BD"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2013</w:t>
            </w:r>
          </w:p>
        </w:tc>
        <w:tc>
          <w:tcPr>
            <w:tcW w:w="492" w:type="pct"/>
            <w:tcBorders>
              <w:top w:val="single" w:sz="4" w:space="0" w:color="auto"/>
              <w:left w:val="single" w:sz="4" w:space="0" w:color="auto"/>
              <w:bottom w:val="single" w:sz="4" w:space="0" w:color="auto"/>
              <w:right w:val="single" w:sz="4" w:space="0" w:color="auto"/>
            </w:tcBorders>
            <w:shd w:val="clear" w:color="auto" w:fill="75BB6E" w:themeFill="accent4"/>
            <w:vAlign w:val="center"/>
          </w:tcPr>
          <w:p w14:paraId="0AB391D0"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2014</w:t>
            </w:r>
          </w:p>
        </w:tc>
        <w:tc>
          <w:tcPr>
            <w:tcW w:w="492" w:type="pct"/>
            <w:tcBorders>
              <w:top w:val="single" w:sz="4" w:space="0" w:color="auto"/>
              <w:left w:val="single" w:sz="4" w:space="0" w:color="auto"/>
              <w:bottom w:val="single" w:sz="4" w:space="0" w:color="auto"/>
              <w:right w:val="single" w:sz="4" w:space="0" w:color="auto"/>
            </w:tcBorders>
            <w:shd w:val="clear" w:color="auto" w:fill="75BB6E" w:themeFill="accent4"/>
            <w:vAlign w:val="center"/>
            <w:hideMark/>
          </w:tcPr>
          <w:p w14:paraId="25ED8273"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2015</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center"/>
            <w:hideMark/>
          </w:tcPr>
          <w:p w14:paraId="23B23DDC"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Asp Target</w:t>
            </w:r>
          </w:p>
        </w:tc>
      </w:tr>
      <w:tr w:rsidR="00662D07" w:rsidRPr="0003527D" w14:paraId="36433D6D" w14:textId="77777777" w:rsidTr="00FF1158">
        <w:trPr>
          <w:trHeight w:val="20"/>
        </w:trPr>
        <w:tc>
          <w:tcPr>
            <w:tcW w:w="1556" w:type="pct"/>
            <w:gridSpan w:val="2"/>
            <w:tcBorders>
              <w:top w:val="single" w:sz="4" w:space="0" w:color="auto"/>
              <w:left w:val="single" w:sz="4" w:space="0" w:color="auto"/>
              <w:bottom w:val="single" w:sz="4" w:space="0" w:color="auto"/>
              <w:right w:val="single" w:sz="4" w:space="0" w:color="auto"/>
            </w:tcBorders>
            <w:shd w:val="clear" w:color="auto" w:fill="C7E3C4" w:themeFill="accent4" w:themeFillTint="66"/>
            <w:vAlign w:val="bottom"/>
            <w:hideMark/>
          </w:tcPr>
          <w:p w14:paraId="674EADD7" w14:textId="77777777" w:rsidR="00662D07" w:rsidRPr="0003527D" w:rsidRDefault="00662D07" w:rsidP="00FF1158">
            <w:pP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Ease of Doing Business Rank</w:t>
            </w:r>
          </w:p>
        </w:tc>
        <w:tc>
          <w:tcPr>
            <w:tcW w:w="492" w:type="pct"/>
            <w:tcBorders>
              <w:top w:val="single" w:sz="4" w:space="0" w:color="auto"/>
              <w:left w:val="single" w:sz="4" w:space="0" w:color="auto"/>
              <w:bottom w:val="single" w:sz="4" w:space="0" w:color="auto"/>
              <w:right w:val="single" w:sz="4" w:space="0" w:color="auto"/>
            </w:tcBorders>
            <w:shd w:val="clear" w:color="auto" w:fill="C7E3C4" w:themeFill="accent4" w:themeFillTint="66"/>
            <w:vAlign w:val="bottom"/>
          </w:tcPr>
          <w:p w14:paraId="506FF9A1" w14:textId="77777777" w:rsidR="00662D07" w:rsidRPr="0003527D" w:rsidRDefault="00662D07" w:rsidP="00FF1158">
            <w:pPr>
              <w:jc w:val="right"/>
              <w:rPr>
                <w:rFonts w:ascii="Helvetica Neue" w:eastAsia="Times New Roman" w:hAnsi="Helvetica Neue"/>
                <w:b/>
                <w:bCs/>
                <w:color w:val="000000"/>
                <w:sz w:val="16"/>
                <w:szCs w:val="16"/>
              </w:rPr>
            </w:pPr>
          </w:p>
        </w:tc>
        <w:tc>
          <w:tcPr>
            <w:tcW w:w="492" w:type="pct"/>
            <w:tcBorders>
              <w:top w:val="single" w:sz="4" w:space="0" w:color="auto"/>
              <w:left w:val="single" w:sz="4" w:space="0" w:color="auto"/>
              <w:bottom w:val="single" w:sz="4" w:space="0" w:color="auto"/>
              <w:right w:val="single" w:sz="4" w:space="0" w:color="auto"/>
            </w:tcBorders>
            <w:shd w:val="clear" w:color="auto" w:fill="C7E3C4" w:themeFill="accent4" w:themeFillTint="66"/>
            <w:vAlign w:val="bottom"/>
          </w:tcPr>
          <w:p w14:paraId="72C87E3C" w14:textId="77777777" w:rsidR="00662D07" w:rsidRPr="0003527D" w:rsidRDefault="00662D07" w:rsidP="00FF1158">
            <w:pPr>
              <w:jc w:val="right"/>
              <w:rPr>
                <w:rFonts w:ascii="Helvetica Neue" w:eastAsia="Times New Roman" w:hAnsi="Helvetica Neue"/>
                <w:b/>
                <w:bCs/>
                <w:color w:val="000000"/>
                <w:sz w:val="16"/>
                <w:szCs w:val="16"/>
              </w:rPr>
            </w:pPr>
          </w:p>
        </w:tc>
        <w:tc>
          <w:tcPr>
            <w:tcW w:w="492" w:type="pct"/>
            <w:tcBorders>
              <w:top w:val="single" w:sz="4" w:space="0" w:color="auto"/>
              <w:left w:val="single" w:sz="4" w:space="0" w:color="auto"/>
              <w:bottom w:val="single" w:sz="4" w:space="0" w:color="auto"/>
              <w:right w:val="single" w:sz="4" w:space="0" w:color="auto"/>
            </w:tcBorders>
            <w:shd w:val="clear" w:color="auto" w:fill="C7E3C4" w:themeFill="accent4" w:themeFillTint="66"/>
            <w:vAlign w:val="bottom"/>
          </w:tcPr>
          <w:p w14:paraId="109FC174" w14:textId="77777777" w:rsidR="00662D07" w:rsidRPr="0003527D" w:rsidRDefault="00662D07" w:rsidP="00FF1158">
            <w:pPr>
              <w:jc w:val="right"/>
              <w:rPr>
                <w:rFonts w:ascii="Helvetica Neue" w:eastAsia="Times New Roman" w:hAnsi="Helvetica Neue"/>
                <w:b/>
                <w:bCs/>
                <w:color w:val="000000"/>
                <w:sz w:val="16"/>
                <w:szCs w:val="16"/>
              </w:rPr>
            </w:pPr>
          </w:p>
        </w:tc>
        <w:tc>
          <w:tcPr>
            <w:tcW w:w="492" w:type="pct"/>
            <w:tcBorders>
              <w:top w:val="single" w:sz="4" w:space="0" w:color="auto"/>
              <w:left w:val="single" w:sz="4" w:space="0" w:color="auto"/>
              <w:bottom w:val="single" w:sz="4" w:space="0" w:color="auto"/>
              <w:right w:val="single" w:sz="4" w:space="0" w:color="auto"/>
            </w:tcBorders>
            <w:shd w:val="clear" w:color="auto" w:fill="C7E3C4" w:themeFill="accent4" w:themeFillTint="66"/>
            <w:vAlign w:val="bottom"/>
          </w:tcPr>
          <w:p w14:paraId="5BCD4A24" w14:textId="77777777" w:rsidR="00662D07" w:rsidRPr="0003527D" w:rsidRDefault="00662D07" w:rsidP="00FF1158">
            <w:pPr>
              <w:jc w:val="right"/>
              <w:rPr>
                <w:rFonts w:ascii="Helvetica Neue" w:eastAsia="Times New Roman" w:hAnsi="Helvetica Neue"/>
                <w:b/>
                <w:bCs/>
                <w:color w:val="000000"/>
                <w:sz w:val="16"/>
                <w:szCs w:val="16"/>
              </w:rPr>
            </w:pPr>
          </w:p>
        </w:tc>
        <w:tc>
          <w:tcPr>
            <w:tcW w:w="492" w:type="pct"/>
            <w:tcBorders>
              <w:top w:val="single" w:sz="4" w:space="0" w:color="auto"/>
              <w:left w:val="single" w:sz="4" w:space="0" w:color="auto"/>
              <w:bottom w:val="single" w:sz="4" w:space="0" w:color="auto"/>
              <w:right w:val="single" w:sz="4" w:space="0" w:color="auto"/>
            </w:tcBorders>
            <w:shd w:val="clear" w:color="auto" w:fill="C7E3C4" w:themeFill="accent4" w:themeFillTint="66"/>
            <w:vAlign w:val="bottom"/>
          </w:tcPr>
          <w:p w14:paraId="6DA24076" w14:textId="77777777" w:rsidR="00662D07" w:rsidRPr="0003527D" w:rsidRDefault="00662D07" w:rsidP="00FF1158">
            <w:pPr>
              <w:jc w:val="right"/>
              <w:rPr>
                <w:rFonts w:ascii="Helvetica Neue" w:eastAsia="Times New Roman" w:hAnsi="Helvetica Neue"/>
                <w:b/>
                <w:bCs/>
                <w:color w:val="000000"/>
                <w:sz w:val="16"/>
                <w:szCs w:val="16"/>
              </w:rPr>
            </w:pPr>
          </w:p>
        </w:tc>
        <w:tc>
          <w:tcPr>
            <w:tcW w:w="492" w:type="pct"/>
            <w:tcBorders>
              <w:top w:val="single" w:sz="4" w:space="0" w:color="auto"/>
              <w:left w:val="single" w:sz="4" w:space="0" w:color="auto"/>
              <w:bottom w:val="single" w:sz="4" w:space="0" w:color="auto"/>
              <w:right w:val="single" w:sz="4" w:space="0" w:color="auto"/>
            </w:tcBorders>
            <w:shd w:val="clear" w:color="auto" w:fill="C7E3C4" w:themeFill="accent4" w:themeFillTint="66"/>
            <w:vAlign w:val="bottom"/>
          </w:tcPr>
          <w:p w14:paraId="048FD29A" w14:textId="77777777" w:rsidR="00662D07" w:rsidRPr="0003527D" w:rsidRDefault="00662D07" w:rsidP="00FF1158">
            <w:pPr>
              <w:jc w:val="right"/>
              <w:rPr>
                <w:rFonts w:ascii="Helvetica Neue" w:eastAsia="Times New Roman" w:hAnsi="Helvetica Neue"/>
                <w:b/>
                <w:bCs/>
                <w:color w:val="000000"/>
                <w:sz w:val="16"/>
                <w:szCs w:val="16"/>
              </w:rPr>
            </w:pP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1C8F086F" w14:textId="77777777" w:rsidR="00662D07" w:rsidRPr="0003527D" w:rsidRDefault="00662D07" w:rsidP="00FF1158">
            <w:pPr>
              <w:jc w:val="right"/>
              <w:rPr>
                <w:rFonts w:ascii="Helvetica Neue" w:eastAsia="Times New Roman" w:hAnsi="Helvetica Neue"/>
                <w:b/>
                <w:bCs/>
                <w:color w:val="000000"/>
                <w:sz w:val="16"/>
                <w:szCs w:val="16"/>
              </w:rPr>
            </w:pPr>
          </w:p>
        </w:tc>
      </w:tr>
      <w:tr w:rsidR="00662D07" w:rsidRPr="0003527D" w14:paraId="6A987DE3" w14:textId="77777777" w:rsidTr="00FF1158">
        <w:trPr>
          <w:trHeight w:val="382"/>
        </w:trPr>
        <w:tc>
          <w:tcPr>
            <w:tcW w:w="478" w:type="pct"/>
            <w:vMerge w:val="restart"/>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4C9853CA"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Paying Taxes</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35A62" w14:textId="77777777" w:rsidR="00662D07" w:rsidRPr="0003527D" w:rsidRDefault="00662D07" w:rsidP="00FF1158">
            <w:pPr>
              <w:rPr>
                <w:rFonts w:ascii="Helvetica Neue" w:eastAsia="Times New Roman" w:hAnsi="Helvetica Neue"/>
                <w:b/>
                <w:bCs/>
                <w:color w:val="000000"/>
                <w:sz w:val="16"/>
                <w:szCs w:val="16"/>
              </w:rPr>
            </w:pPr>
            <w:r>
              <w:rPr>
                <w:rFonts w:ascii="Helvetica Neue" w:eastAsia="Times New Roman" w:hAnsi="Helvetica Neue"/>
                <w:b/>
                <w:bCs/>
                <w:color w:val="000000"/>
                <w:sz w:val="16"/>
                <w:szCs w:val="16"/>
              </w:rPr>
              <w:t>DTF</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93F0797"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74.14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2130938"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74.14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F556943"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74.14</w:t>
            </w:r>
          </w:p>
        </w:tc>
        <w:tc>
          <w:tcPr>
            <w:tcW w:w="492" w:type="pct"/>
            <w:tcBorders>
              <w:top w:val="single" w:sz="4" w:space="0" w:color="auto"/>
              <w:left w:val="single" w:sz="4" w:space="0" w:color="auto"/>
              <w:bottom w:val="single" w:sz="4" w:space="0" w:color="auto"/>
              <w:right w:val="single" w:sz="4" w:space="0" w:color="auto"/>
            </w:tcBorders>
            <w:vAlign w:val="bottom"/>
          </w:tcPr>
          <w:p w14:paraId="2AB3E07F"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74.14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1B8219B"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74.39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FEE1D5D"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74.39</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0CE93B66"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65</w:t>
            </w:r>
          </w:p>
        </w:tc>
      </w:tr>
      <w:tr w:rsidR="00662D07" w:rsidRPr="0003527D" w14:paraId="6951C61F"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77225264"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FB9DD"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Payments (number per year)</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84A5716"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6FBADF3"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04D1DA4"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20</w:t>
            </w:r>
          </w:p>
        </w:tc>
        <w:tc>
          <w:tcPr>
            <w:tcW w:w="492" w:type="pct"/>
            <w:tcBorders>
              <w:top w:val="single" w:sz="4" w:space="0" w:color="auto"/>
              <w:left w:val="single" w:sz="4" w:space="0" w:color="auto"/>
              <w:bottom w:val="single" w:sz="4" w:space="0" w:color="auto"/>
              <w:right w:val="single" w:sz="4" w:space="0" w:color="auto"/>
            </w:tcBorders>
            <w:vAlign w:val="bottom"/>
          </w:tcPr>
          <w:p w14:paraId="6976F8AA"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42E74AB"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53E6E9B"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20</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572609C6" w14:textId="77777777" w:rsidR="00662D07" w:rsidRPr="00CC47DF" w:rsidRDefault="00662D07" w:rsidP="00FF1158">
            <w:pPr>
              <w:jc w:val="right"/>
              <w:outlineLvl w:val="0"/>
              <w:rPr>
                <w:rFonts w:ascii="Helvetica" w:eastAsia="Times New Roman" w:hAnsi="Helvetica"/>
                <w:b/>
                <w:color w:val="000000"/>
                <w:sz w:val="16"/>
                <w:szCs w:val="16"/>
              </w:rPr>
            </w:pPr>
            <w:r>
              <w:rPr>
                <w:rFonts w:ascii="Helvetica" w:eastAsia="Times New Roman" w:hAnsi="Helvetica"/>
                <w:color w:val="000000"/>
                <w:sz w:val="16"/>
                <w:szCs w:val="16"/>
              </w:rPr>
              <w:t>12-</w:t>
            </w:r>
            <w:r w:rsidRPr="00CC47DF">
              <w:rPr>
                <w:rFonts w:ascii="Helvetica" w:eastAsia="Times New Roman" w:hAnsi="Helvetica"/>
                <w:color w:val="000000"/>
                <w:sz w:val="16"/>
                <w:szCs w:val="16"/>
              </w:rPr>
              <w:t>33</w:t>
            </w:r>
          </w:p>
        </w:tc>
      </w:tr>
      <w:tr w:rsidR="00662D07" w:rsidRPr="0003527D" w14:paraId="7B9D7DA0"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012A8143"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D8D54"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Time (hours per year)</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B13ACE0"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275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CDBFF1E"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275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ED6F166"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275</w:t>
            </w:r>
          </w:p>
        </w:tc>
        <w:tc>
          <w:tcPr>
            <w:tcW w:w="492" w:type="pct"/>
            <w:tcBorders>
              <w:top w:val="single" w:sz="4" w:space="0" w:color="auto"/>
              <w:left w:val="single" w:sz="4" w:space="0" w:color="auto"/>
              <w:bottom w:val="single" w:sz="4" w:space="0" w:color="auto"/>
              <w:right w:val="single" w:sz="4" w:space="0" w:color="auto"/>
            </w:tcBorders>
            <w:vAlign w:val="bottom"/>
          </w:tcPr>
          <w:p w14:paraId="56F7A52E"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275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588A85B"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275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6AF9250"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275</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688CC63A" w14:textId="77777777" w:rsidR="00662D07" w:rsidRPr="00CC47DF" w:rsidRDefault="00662D07" w:rsidP="00FF1158">
            <w:pPr>
              <w:jc w:val="right"/>
              <w:outlineLvl w:val="0"/>
              <w:rPr>
                <w:rFonts w:ascii="Helvetica" w:eastAsia="Times New Roman" w:hAnsi="Helvetica"/>
                <w:b/>
                <w:color w:val="000000"/>
                <w:sz w:val="16"/>
                <w:szCs w:val="16"/>
              </w:rPr>
            </w:pPr>
            <w:r w:rsidRPr="00CC47DF">
              <w:rPr>
                <w:rFonts w:ascii="Helvetica" w:eastAsia="Times New Roman" w:hAnsi="Helvetica"/>
                <w:color w:val="000000"/>
                <w:sz w:val="16"/>
                <w:szCs w:val="16"/>
              </w:rPr>
              <w:t>243</w:t>
            </w:r>
          </w:p>
        </w:tc>
      </w:tr>
      <w:tr w:rsidR="00662D07" w:rsidRPr="0003527D" w14:paraId="2156DA97"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63E96C2B"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79001"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Profit tax (%)</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A8C3CCC"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1052E0E"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EC4C806"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vAlign w:val="bottom"/>
          </w:tcPr>
          <w:p w14:paraId="7E3A481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CECD095"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40AB461"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0</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69B6B551"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25.3</w:t>
            </w:r>
          </w:p>
        </w:tc>
      </w:tr>
      <w:tr w:rsidR="00662D07" w:rsidRPr="0003527D" w14:paraId="594F9D53"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1C0C977E"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C7EF0"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Labor tax and contributions (%)</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23E7F93"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2B101B1"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B9AD497"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vAlign w:val="bottom"/>
          </w:tcPr>
          <w:p w14:paraId="2DDA9746"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5EA19FE"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0F3FCA3"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0</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5B2FF17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20.7</w:t>
            </w:r>
          </w:p>
        </w:tc>
      </w:tr>
      <w:tr w:rsidR="00662D07" w:rsidRPr="0003527D" w14:paraId="7F314E30"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5E536858"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6E716"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Other taxes (%)</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0F6C1F25"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1F3945A"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88F063B"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vAlign w:val="bottom"/>
          </w:tcPr>
          <w:p w14:paraId="61EECE7D"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1746F13"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35.8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0AD5E154"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35.8</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4A321A8C" w14:textId="77777777" w:rsidR="00662D07" w:rsidRPr="00CC47DF" w:rsidRDefault="00662D07" w:rsidP="00FF1158">
            <w:pPr>
              <w:jc w:val="right"/>
              <w:outlineLvl w:val="0"/>
              <w:rPr>
                <w:rFonts w:ascii="Helvetica" w:eastAsia="Times New Roman" w:hAnsi="Helvetica"/>
                <w:b/>
                <w:color w:val="000000"/>
                <w:sz w:val="16"/>
                <w:szCs w:val="16"/>
              </w:rPr>
            </w:pPr>
            <w:r w:rsidRPr="00CC47DF">
              <w:rPr>
                <w:rFonts w:ascii="Helvetica" w:eastAsia="Times New Roman" w:hAnsi="Helvetica"/>
                <w:color w:val="000000"/>
                <w:sz w:val="16"/>
                <w:szCs w:val="16"/>
              </w:rPr>
              <w:t>15.7</w:t>
            </w:r>
          </w:p>
        </w:tc>
      </w:tr>
      <w:tr w:rsidR="00662D07" w:rsidRPr="0003527D" w14:paraId="3E05C377"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219185C5"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593A2"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Total tax rate (% profit)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4BD891D"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36.3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6420084"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36.3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D1A9FC6"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36.3</w:t>
            </w:r>
          </w:p>
        </w:tc>
        <w:tc>
          <w:tcPr>
            <w:tcW w:w="492" w:type="pct"/>
            <w:tcBorders>
              <w:top w:val="single" w:sz="4" w:space="0" w:color="auto"/>
              <w:left w:val="single" w:sz="4" w:space="0" w:color="auto"/>
              <w:bottom w:val="single" w:sz="4" w:space="0" w:color="auto"/>
              <w:right w:val="single" w:sz="4" w:space="0" w:color="auto"/>
            </w:tcBorders>
            <w:vAlign w:val="bottom"/>
          </w:tcPr>
          <w:p w14:paraId="21701DE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36.3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5384936"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35.8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B5D8717"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35.8</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0E145B78"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61.7</w:t>
            </w:r>
          </w:p>
        </w:tc>
      </w:tr>
      <w:tr w:rsidR="00662D07" w:rsidRPr="0003527D" w14:paraId="14B5E604" w14:textId="77777777" w:rsidTr="00FF1158">
        <w:trPr>
          <w:trHeight w:val="20"/>
        </w:trPr>
        <w:tc>
          <w:tcPr>
            <w:tcW w:w="478" w:type="pct"/>
            <w:vMerge w:val="restart"/>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7E2880E5"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Trading Across Borders</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5DB22" w14:textId="77777777" w:rsidR="00662D07" w:rsidRPr="0003527D" w:rsidRDefault="00662D07" w:rsidP="00FF1158">
            <w:pPr>
              <w:rPr>
                <w:rFonts w:ascii="Helvetica Neue" w:eastAsia="Times New Roman" w:hAnsi="Helvetica Neue"/>
                <w:b/>
                <w:bCs/>
                <w:color w:val="000000"/>
                <w:sz w:val="16"/>
                <w:szCs w:val="16"/>
              </w:rPr>
            </w:pPr>
            <w:r>
              <w:rPr>
                <w:rFonts w:ascii="Helvetica Neue" w:eastAsia="Times New Roman" w:hAnsi="Helvetica Neue"/>
                <w:b/>
                <w:bCs/>
                <w:color w:val="000000"/>
                <w:sz w:val="16"/>
                <w:szCs w:val="16"/>
              </w:rPr>
              <w:t>DTF</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714909F"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17.71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AFD2BE7"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11.26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0D8A3EC6"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14.1</w:t>
            </w:r>
          </w:p>
        </w:tc>
        <w:tc>
          <w:tcPr>
            <w:tcW w:w="492" w:type="pct"/>
            <w:tcBorders>
              <w:top w:val="single" w:sz="4" w:space="0" w:color="auto"/>
              <w:left w:val="single" w:sz="4" w:space="0" w:color="auto"/>
              <w:bottom w:val="single" w:sz="4" w:space="0" w:color="auto"/>
              <w:right w:val="single" w:sz="4" w:space="0" w:color="auto"/>
            </w:tcBorders>
            <w:vAlign w:val="bottom"/>
          </w:tcPr>
          <w:p w14:paraId="0B96DD2B"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16.97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5AF66AE"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10.76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502F38F"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9.21</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7D468053" w14:textId="77777777" w:rsidR="00662D07" w:rsidRPr="00CC47DF" w:rsidRDefault="00662D07" w:rsidP="00FF1158">
            <w:pPr>
              <w:jc w:val="right"/>
              <w:rPr>
                <w:rFonts w:ascii="Helvetica" w:eastAsia="Times New Roman" w:hAnsi="Helvetica"/>
                <w:b/>
                <w:bCs/>
                <w:color w:val="000000"/>
                <w:sz w:val="16"/>
                <w:szCs w:val="16"/>
              </w:rPr>
            </w:pPr>
            <w:r w:rsidRPr="00CC47DF">
              <w:rPr>
                <w:rFonts w:ascii="Helvetica" w:eastAsia="Times New Roman" w:hAnsi="Helvetica"/>
                <w:color w:val="000000"/>
                <w:sz w:val="16"/>
                <w:szCs w:val="16"/>
              </w:rPr>
              <w:t>45</w:t>
            </w:r>
          </w:p>
        </w:tc>
      </w:tr>
      <w:tr w:rsidR="00662D07" w:rsidRPr="0003527D" w14:paraId="5A42CA07"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2145F6A8"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43E49"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Documents to export (number)</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7A6334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E0A5D45"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EA9138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vAlign w:val="bottom"/>
          </w:tcPr>
          <w:p w14:paraId="575F1ECC"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72D6281"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328EC5F"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7400B593"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w:t>
            </w:r>
          </w:p>
        </w:tc>
      </w:tr>
      <w:tr w:rsidR="00662D07" w:rsidRPr="0003527D" w14:paraId="6001E78D"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4F4D51AC"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3193C"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Time to export (days)</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D2C0642"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CF90EA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9B42677"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74</w:t>
            </w:r>
          </w:p>
        </w:tc>
        <w:tc>
          <w:tcPr>
            <w:tcW w:w="492" w:type="pct"/>
            <w:tcBorders>
              <w:top w:val="single" w:sz="4" w:space="0" w:color="auto"/>
              <w:left w:val="single" w:sz="4" w:space="0" w:color="auto"/>
              <w:bottom w:val="single" w:sz="4" w:space="0" w:color="auto"/>
              <w:right w:val="single" w:sz="4" w:space="0" w:color="auto"/>
            </w:tcBorders>
            <w:vAlign w:val="bottom"/>
          </w:tcPr>
          <w:p w14:paraId="2F345822"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0625CCF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81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3351DE8"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86</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57C948FD"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17.1</w:t>
            </w:r>
          </w:p>
        </w:tc>
      </w:tr>
      <w:tr w:rsidR="00662D07" w:rsidRPr="0003527D" w14:paraId="36F8C43E"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441CFDAA"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C3CC0"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Cost to export (US$ per container)</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CF34AFF"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3,030.00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C90E9C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3,545.00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E6592FE"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3,545.00</w:t>
            </w:r>
          </w:p>
        </w:tc>
        <w:tc>
          <w:tcPr>
            <w:tcW w:w="492" w:type="pct"/>
            <w:tcBorders>
              <w:top w:val="single" w:sz="4" w:space="0" w:color="auto"/>
              <w:left w:val="single" w:sz="4" w:space="0" w:color="auto"/>
              <w:bottom w:val="single" w:sz="4" w:space="0" w:color="auto"/>
              <w:right w:val="single" w:sz="4" w:space="0" w:color="auto"/>
            </w:tcBorders>
            <w:vAlign w:val="bottom"/>
          </w:tcPr>
          <w:p w14:paraId="29C5055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3,545.00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066AF077"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4,645.00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F97C37F"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5,045.00</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0C33B6CE"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1332</w:t>
            </w:r>
          </w:p>
        </w:tc>
      </w:tr>
      <w:tr w:rsidR="00662D07" w:rsidRPr="0003527D" w14:paraId="2240DEEB"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008D5C56"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C129A"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Documents to import (number)</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202831A"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4,033.50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56C43A1"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4,820.60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56B4065"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4,404.90</w:t>
            </w:r>
          </w:p>
        </w:tc>
        <w:tc>
          <w:tcPr>
            <w:tcW w:w="492" w:type="pct"/>
            <w:tcBorders>
              <w:top w:val="single" w:sz="4" w:space="0" w:color="auto"/>
              <w:left w:val="single" w:sz="4" w:space="0" w:color="auto"/>
              <w:bottom w:val="single" w:sz="4" w:space="0" w:color="auto"/>
              <w:right w:val="single" w:sz="4" w:space="0" w:color="auto"/>
            </w:tcBorders>
            <w:vAlign w:val="bottom"/>
          </w:tcPr>
          <w:p w14:paraId="3E92326A"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3,984.10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09A4F08A"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4,820.30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7ACA46B"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5,045.00</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552C5EE2"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1332</w:t>
            </w:r>
          </w:p>
        </w:tc>
      </w:tr>
      <w:tr w:rsidR="00662D07" w:rsidRPr="0003527D" w14:paraId="0E363B2C"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2DB4968B"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01CAE"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Time to import (days)</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358EBF2"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560673F"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E65CEE6"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vAlign w:val="bottom"/>
          </w:tcPr>
          <w:p w14:paraId="52BF46CA"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0F0B8954"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8A01C1B"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41630150"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10</w:t>
            </w:r>
          </w:p>
        </w:tc>
      </w:tr>
      <w:tr w:rsidR="00662D07" w:rsidRPr="0003527D" w14:paraId="70BF932D" w14:textId="77777777" w:rsidTr="00FF1158">
        <w:trPr>
          <w:trHeight w:val="20"/>
        </w:trPr>
        <w:tc>
          <w:tcPr>
            <w:tcW w:w="478" w:type="pct"/>
            <w:vMerge/>
            <w:tcBorders>
              <w:top w:val="single" w:sz="4" w:space="0" w:color="auto"/>
              <w:left w:val="single" w:sz="4" w:space="0" w:color="auto"/>
              <w:bottom w:val="single" w:sz="4" w:space="0" w:color="auto"/>
              <w:right w:val="single" w:sz="4" w:space="0" w:color="auto"/>
            </w:tcBorders>
            <w:shd w:val="clear" w:color="auto" w:fill="C7E3C4" w:themeFill="accent4" w:themeFillTint="66"/>
            <w:vAlign w:val="center"/>
            <w:hideMark/>
          </w:tcPr>
          <w:p w14:paraId="5188CA0B" w14:textId="77777777" w:rsidR="00662D07" w:rsidRPr="0003527D" w:rsidRDefault="00662D07" w:rsidP="00FF1158">
            <w:pPr>
              <w:rPr>
                <w:rFonts w:ascii="Helvetica Neue" w:eastAsia="Times New Roman" w:hAnsi="Helvetica Neue"/>
                <w:b/>
                <w:bCs/>
                <w:color w:val="000000"/>
                <w:sz w:val="16"/>
                <w:szCs w:val="16"/>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BF7A5" w14:textId="77777777" w:rsidR="00662D07" w:rsidRPr="0003527D" w:rsidRDefault="00662D07" w:rsidP="00FF1158">
            <w:pPr>
              <w:outlineLvl w:val="0"/>
              <w:rPr>
                <w:rFonts w:ascii="Helvetica Neue" w:eastAsia="Times New Roman" w:hAnsi="Helvetica Neue"/>
                <w:color w:val="000000"/>
                <w:sz w:val="16"/>
                <w:szCs w:val="16"/>
              </w:rPr>
            </w:pPr>
            <w:r w:rsidRPr="0003527D">
              <w:rPr>
                <w:rFonts w:ascii="Helvetica Neue" w:eastAsia="Times New Roman" w:hAnsi="Helvetica Neue"/>
                <w:color w:val="000000"/>
                <w:sz w:val="16"/>
                <w:szCs w:val="16"/>
              </w:rPr>
              <w:t>Cost to import (US$ per container)</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1181AC8"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4C83A15"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068FFC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77</w:t>
            </w:r>
          </w:p>
        </w:tc>
        <w:tc>
          <w:tcPr>
            <w:tcW w:w="492" w:type="pct"/>
            <w:tcBorders>
              <w:top w:val="single" w:sz="4" w:space="0" w:color="auto"/>
              <w:left w:val="single" w:sz="4" w:space="0" w:color="auto"/>
              <w:bottom w:val="single" w:sz="4" w:space="0" w:color="auto"/>
              <w:right w:val="single" w:sz="4" w:space="0" w:color="auto"/>
            </w:tcBorders>
            <w:vAlign w:val="bottom"/>
          </w:tcPr>
          <w:p w14:paraId="472998C9"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77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1D73DE6"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85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96E6317"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91</w:t>
            </w:r>
          </w:p>
        </w:tc>
        <w:tc>
          <w:tcPr>
            <w:tcW w:w="492" w:type="pct"/>
            <w:tcBorders>
              <w:top w:val="single" w:sz="4" w:space="0" w:color="auto"/>
              <w:left w:val="single" w:sz="4" w:space="0" w:color="auto"/>
              <w:bottom w:val="single" w:sz="4" w:space="0" w:color="auto"/>
              <w:right w:val="single" w:sz="4" w:space="0" w:color="auto"/>
            </w:tcBorders>
            <w:shd w:val="clear" w:color="auto" w:fill="F98A37" w:themeFill="accent3"/>
            <w:vAlign w:val="bottom"/>
          </w:tcPr>
          <w:p w14:paraId="7ADC4E95" w14:textId="77777777" w:rsidR="00662D07" w:rsidRPr="00CC47DF" w:rsidRDefault="00662D07" w:rsidP="00FF1158">
            <w:pPr>
              <w:jc w:val="right"/>
              <w:outlineLvl w:val="0"/>
              <w:rPr>
                <w:rFonts w:ascii="Helvetica" w:eastAsia="Times New Roman" w:hAnsi="Helvetica"/>
                <w:color w:val="000000"/>
                <w:sz w:val="16"/>
                <w:szCs w:val="16"/>
              </w:rPr>
            </w:pPr>
            <w:r w:rsidRPr="00CC47DF">
              <w:rPr>
                <w:rFonts w:ascii="Helvetica" w:eastAsia="Times New Roman" w:hAnsi="Helvetica"/>
                <w:color w:val="000000"/>
                <w:sz w:val="16"/>
                <w:szCs w:val="16"/>
              </w:rPr>
              <w:t>21.1</w:t>
            </w:r>
          </w:p>
        </w:tc>
      </w:tr>
    </w:tbl>
    <w:p w14:paraId="0F37372B" w14:textId="6F1E0DC9" w:rsidR="00BA35C1" w:rsidRPr="008168B1" w:rsidRDefault="00662D07" w:rsidP="00662D07">
      <w:pPr>
        <w:pStyle w:val="NoSpacing"/>
        <w:rPr>
          <w:rFonts w:asciiTheme="minorHAnsi" w:hAnsiTheme="minorHAnsi"/>
          <w:sz w:val="16"/>
          <w:szCs w:val="16"/>
        </w:rPr>
      </w:pPr>
      <w:r w:rsidRPr="00361323">
        <w:rPr>
          <w:rFonts w:asciiTheme="minorHAnsi" w:hAnsiTheme="minorHAnsi"/>
          <w:sz w:val="16"/>
          <w:szCs w:val="16"/>
        </w:rPr>
        <w:t xml:space="preserve">Nb: Aspirational targets based on reaching levels equivalent to neighbours </w:t>
      </w:r>
    </w:p>
    <w:p w14:paraId="087FDC43" w14:textId="77777777" w:rsidR="00662D07" w:rsidRPr="003D3DFE" w:rsidRDefault="00662D07" w:rsidP="00DE147D">
      <w:pPr>
        <w:pStyle w:val="TableHeader1"/>
      </w:pPr>
      <w:bookmarkStart w:id="45" w:name="_Ref282947981"/>
      <w:bookmarkStart w:id="46" w:name="_Toc430414671"/>
      <w:bookmarkStart w:id="47" w:name="_Toc457162636"/>
      <w:r w:rsidRPr="003D3DFE">
        <w:t>Tax Payments and Times</w:t>
      </w:r>
      <w:bookmarkEnd w:id="45"/>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0"/>
        <w:gridCol w:w="1061"/>
        <w:gridCol w:w="1063"/>
        <w:gridCol w:w="1061"/>
        <w:gridCol w:w="1101"/>
        <w:gridCol w:w="1024"/>
      </w:tblGrid>
      <w:tr w:rsidR="00662D07" w:rsidRPr="0003527D" w14:paraId="41088F6D" w14:textId="77777777" w:rsidTr="00FF1158">
        <w:trPr>
          <w:trHeight w:val="20"/>
        </w:trPr>
        <w:tc>
          <w:tcPr>
            <w:tcW w:w="2053" w:type="pct"/>
            <w:shd w:val="clear" w:color="auto" w:fill="75BB6E" w:themeFill="accent4"/>
            <w:noWrap/>
            <w:vAlign w:val="center"/>
            <w:hideMark/>
          </w:tcPr>
          <w:p w14:paraId="2C31B1DF" w14:textId="77777777" w:rsidR="00662D07" w:rsidRPr="0003527D" w:rsidRDefault="00662D07" w:rsidP="00FF1158">
            <w:pP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Tax or mandatory contribution</w:t>
            </w:r>
          </w:p>
        </w:tc>
        <w:tc>
          <w:tcPr>
            <w:tcW w:w="589" w:type="pct"/>
            <w:shd w:val="clear" w:color="auto" w:fill="75BB6E" w:themeFill="accent4"/>
            <w:noWrap/>
            <w:vAlign w:val="center"/>
            <w:hideMark/>
          </w:tcPr>
          <w:p w14:paraId="098173B5"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Payments (number)</w:t>
            </w:r>
          </w:p>
        </w:tc>
        <w:tc>
          <w:tcPr>
            <w:tcW w:w="590" w:type="pct"/>
            <w:shd w:val="clear" w:color="auto" w:fill="75BB6E" w:themeFill="accent4"/>
            <w:noWrap/>
            <w:vAlign w:val="center"/>
            <w:hideMark/>
          </w:tcPr>
          <w:p w14:paraId="464089E5"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Time (hours)</w:t>
            </w:r>
          </w:p>
        </w:tc>
        <w:tc>
          <w:tcPr>
            <w:tcW w:w="589" w:type="pct"/>
            <w:shd w:val="clear" w:color="auto" w:fill="75BB6E" w:themeFill="accent4"/>
            <w:noWrap/>
            <w:vAlign w:val="center"/>
            <w:hideMark/>
          </w:tcPr>
          <w:p w14:paraId="34F6F74D"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Statutory tax rate</w:t>
            </w:r>
          </w:p>
        </w:tc>
        <w:tc>
          <w:tcPr>
            <w:tcW w:w="611" w:type="pct"/>
            <w:shd w:val="clear" w:color="auto" w:fill="75BB6E" w:themeFill="accent4"/>
            <w:noWrap/>
            <w:vAlign w:val="center"/>
            <w:hideMark/>
          </w:tcPr>
          <w:p w14:paraId="017A080A"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Tax base</w:t>
            </w:r>
          </w:p>
        </w:tc>
        <w:tc>
          <w:tcPr>
            <w:tcW w:w="568" w:type="pct"/>
            <w:shd w:val="clear" w:color="auto" w:fill="75BB6E" w:themeFill="accent4"/>
            <w:noWrap/>
            <w:vAlign w:val="center"/>
            <w:hideMark/>
          </w:tcPr>
          <w:p w14:paraId="41930A8D" w14:textId="77777777" w:rsidR="00662D07" w:rsidRPr="0003527D" w:rsidRDefault="00662D07" w:rsidP="00FF1158">
            <w:pPr>
              <w:jc w:val="cente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Total tax rate (% profit)</w:t>
            </w:r>
          </w:p>
        </w:tc>
      </w:tr>
      <w:tr w:rsidR="00662D07" w:rsidRPr="0003527D" w14:paraId="1AFAD65F" w14:textId="77777777" w:rsidTr="00FF1158">
        <w:trPr>
          <w:trHeight w:val="20"/>
        </w:trPr>
        <w:tc>
          <w:tcPr>
            <w:tcW w:w="2053" w:type="pct"/>
            <w:shd w:val="clear" w:color="auto" w:fill="auto"/>
            <w:noWrap/>
            <w:vAlign w:val="bottom"/>
            <w:hideMark/>
          </w:tcPr>
          <w:p w14:paraId="0073237D" w14:textId="77777777" w:rsidR="00662D07" w:rsidRPr="003D3DFE" w:rsidRDefault="00662D07" w:rsidP="00FF1158">
            <w:pP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Sales tax</w:t>
            </w:r>
          </w:p>
        </w:tc>
        <w:tc>
          <w:tcPr>
            <w:tcW w:w="589" w:type="pct"/>
            <w:shd w:val="clear" w:color="auto" w:fill="auto"/>
            <w:noWrap/>
            <w:vAlign w:val="bottom"/>
          </w:tcPr>
          <w:p w14:paraId="5C25328C"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4</w:t>
            </w:r>
          </w:p>
        </w:tc>
        <w:tc>
          <w:tcPr>
            <w:tcW w:w="590" w:type="pct"/>
            <w:shd w:val="clear" w:color="auto" w:fill="auto"/>
            <w:noWrap/>
            <w:vAlign w:val="bottom"/>
          </w:tcPr>
          <w:p w14:paraId="1A111149"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78</w:t>
            </w:r>
          </w:p>
        </w:tc>
        <w:tc>
          <w:tcPr>
            <w:tcW w:w="589" w:type="pct"/>
            <w:shd w:val="clear" w:color="auto" w:fill="auto"/>
            <w:noWrap/>
            <w:vAlign w:val="bottom"/>
          </w:tcPr>
          <w:p w14:paraId="1BD0D618"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2%</w:t>
            </w:r>
          </w:p>
        </w:tc>
        <w:tc>
          <w:tcPr>
            <w:tcW w:w="611" w:type="pct"/>
            <w:shd w:val="clear" w:color="auto" w:fill="auto"/>
            <w:noWrap/>
            <w:vAlign w:val="bottom"/>
          </w:tcPr>
          <w:p w14:paraId="35B20F84"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sales</w:t>
            </w:r>
          </w:p>
        </w:tc>
        <w:tc>
          <w:tcPr>
            <w:tcW w:w="568" w:type="pct"/>
            <w:shd w:val="clear" w:color="auto" w:fill="auto"/>
            <w:noWrap/>
            <w:vAlign w:val="bottom"/>
          </w:tcPr>
          <w:p w14:paraId="0B0A08A8"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35.35</w:t>
            </w:r>
          </w:p>
        </w:tc>
      </w:tr>
      <w:tr w:rsidR="00662D07" w:rsidRPr="0003527D" w14:paraId="4903050C" w14:textId="77777777" w:rsidTr="00FF1158">
        <w:trPr>
          <w:trHeight w:val="20"/>
        </w:trPr>
        <w:tc>
          <w:tcPr>
            <w:tcW w:w="2053" w:type="pct"/>
            <w:shd w:val="clear" w:color="auto" w:fill="auto"/>
            <w:noWrap/>
            <w:vAlign w:val="bottom"/>
          </w:tcPr>
          <w:p w14:paraId="23FEBCFA" w14:textId="77777777" w:rsidR="00662D07" w:rsidRPr="003D3DFE" w:rsidRDefault="00662D07" w:rsidP="00FF1158">
            <w:pP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Road toll tax</w:t>
            </w:r>
          </w:p>
        </w:tc>
        <w:tc>
          <w:tcPr>
            <w:tcW w:w="589" w:type="pct"/>
            <w:shd w:val="clear" w:color="auto" w:fill="auto"/>
            <w:noWrap/>
            <w:vAlign w:val="bottom"/>
          </w:tcPr>
          <w:p w14:paraId="7EA47AB7"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1</w:t>
            </w:r>
          </w:p>
        </w:tc>
        <w:tc>
          <w:tcPr>
            <w:tcW w:w="590" w:type="pct"/>
            <w:shd w:val="clear" w:color="auto" w:fill="auto"/>
            <w:noWrap/>
            <w:vAlign w:val="bottom"/>
          </w:tcPr>
          <w:p w14:paraId="0704ABA8" w14:textId="77777777" w:rsidR="00662D07" w:rsidRPr="003D3DFE" w:rsidRDefault="00662D07" w:rsidP="00FF1158">
            <w:pPr>
              <w:jc w:val="center"/>
              <w:rPr>
                <w:rFonts w:ascii="Helvetica Neue" w:eastAsia="Times New Roman" w:hAnsi="Helvetica Neue"/>
                <w:color w:val="232323"/>
                <w:sz w:val="16"/>
                <w:szCs w:val="16"/>
              </w:rPr>
            </w:pPr>
          </w:p>
        </w:tc>
        <w:tc>
          <w:tcPr>
            <w:tcW w:w="589" w:type="pct"/>
            <w:shd w:val="clear" w:color="auto" w:fill="auto"/>
            <w:noWrap/>
            <w:vAlign w:val="bottom"/>
          </w:tcPr>
          <w:p w14:paraId="5939F22B"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AFN 7,500</w:t>
            </w:r>
          </w:p>
        </w:tc>
        <w:tc>
          <w:tcPr>
            <w:tcW w:w="611" w:type="pct"/>
            <w:shd w:val="clear" w:color="auto" w:fill="auto"/>
            <w:noWrap/>
            <w:vAlign w:val="bottom"/>
          </w:tcPr>
          <w:p w14:paraId="1F0C46EC"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fixed fee</w:t>
            </w:r>
          </w:p>
        </w:tc>
        <w:tc>
          <w:tcPr>
            <w:tcW w:w="568" w:type="pct"/>
            <w:shd w:val="clear" w:color="auto" w:fill="auto"/>
            <w:noWrap/>
            <w:vAlign w:val="bottom"/>
          </w:tcPr>
          <w:p w14:paraId="35098368"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0.4</w:t>
            </w:r>
          </w:p>
        </w:tc>
      </w:tr>
      <w:tr w:rsidR="00662D07" w:rsidRPr="0003527D" w14:paraId="647479EF" w14:textId="77777777" w:rsidTr="00FF1158">
        <w:trPr>
          <w:trHeight w:val="20"/>
        </w:trPr>
        <w:tc>
          <w:tcPr>
            <w:tcW w:w="2053" w:type="pct"/>
            <w:shd w:val="clear" w:color="auto" w:fill="auto"/>
            <w:noWrap/>
            <w:vAlign w:val="bottom"/>
          </w:tcPr>
          <w:p w14:paraId="13E57627" w14:textId="77777777" w:rsidR="00662D07" w:rsidRPr="003D3DFE" w:rsidRDefault="00662D07" w:rsidP="00FF1158">
            <w:pP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Vehicle registration tax</w:t>
            </w:r>
          </w:p>
        </w:tc>
        <w:tc>
          <w:tcPr>
            <w:tcW w:w="589" w:type="pct"/>
            <w:shd w:val="clear" w:color="auto" w:fill="auto"/>
            <w:noWrap/>
            <w:vAlign w:val="bottom"/>
          </w:tcPr>
          <w:p w14:paraId="64F27302"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1</w:t>
            </w:r>
          </w:p>
        </w:tc>
        <w:tc>
          <w:tcPr>
            <w:tcW w:w="590" w:type="pct"/>
            <w:shd w:val="clear" w:color="auto" w:fill="auto"/>
            <w:noWrap/>
            <w:vAlign w:val="bottom"/>
          </w:tcPr>
          <w:p w14:paraId="44330073" w14:textId="77777777" w:rsidR="00662D07" w:rsidRPr="003D3DFE" w:rsidRDefault="00662D07" w:rsidP="00FF1158">
            <w:pPr>
              <w:jc w:val="center"/>
              <w:rPr>
                <w:rFonts w:ascii="Helvetica Neue" w:eastAsia="Times New Roman" w:hAnsi="Helvetica Neue"/>
                <w:color w:val="232323"/>
                <w:sz w:val="16"/>
                <w:szCs w:val="16"/>
              </w:rPr>
            </w:pPr>
          </w:p>
        </w:tc>
        <w:tc>
          <w:tcPr>
            <w:tcW w:w="589" w:type="pct"/>
            <w:shd w:val="clear" w:color="auto" w:fill="auto"/>
            <w:noWrap/>
            <w:vAlign w:val="bottom"/>
          </w:tcPr>
          <w:p w14:paraId="73A504C1" w14:textId="77777777" w:rsidR="00662D07" w:rsidRPr="003D3DFE" w:rsidRDefault="00662D07" w:rsidP="00FF1158">
            <w:pPr>
              <w:jc w:val="center"/>
              <w:rPr>
                <w:rFonts w:ascii="Helvetica Neue" w:eastAsia="Times New Roman" w:hAnsi="Helvetica Neue"/>
                <w:color w:val="232323"/>
                <w:sz w:val="16"/>
                <w:szCs w:val="16"/>
              </w:rPr>
            </w:pPr>
          </w:p>
        </w:tc>
        <w:tc>
          <w:tcPr>
            <w:tcW w:w="611" w:type="pct"/>
            <w:shd w:val="clear" w:color="auto" w:fill="auto"/>
            <w:noWrap/>
            <w:vAlign w:val="bottom"/>
          </w:tcPr>
          <w:p w14:paraId="1CB45D2C"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 xml:space="preserve">various </w:t>
            </w:r>
          </w:p>
        </w:tc>
        <w:tc>
          <w:tcPr>
            <w:tcW w:w="568" w:type="pct"/>
            <w:shd w:val="clear" w:color="auto" w:fill="auto"/>
            <w:noWrap/>
            <w:vAlign w:val="bottom"/>
          </w:tcPr>
          <w:p w14:paraId="4E671A9B"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0</w:t>
            </w:r>
          </w:p>
        </w:tc>
      </w:tr>
      <w:tr w:rsidR="00662D07" w:rsidRPr="0003527D" w14:paraId="6AE9CE0E" w14:textId="77777777" w:rsidTr="00FF1158">
        <w:trPr>
          <w:trHeight w:val="20"/>
        </w:trPr>
        <w:tc>
          <w:tcPr>
            <w:tcW w:w="2053" w:type="pct"/>
            <w:shd w:val="clear" w:color="auto" w:fill="auto"/>
            <w:noWrap/>
            <w:vAlign w:val="bottom"/>
            <w:hideMark/>
          </w:tcPr>
          <w:p w14:paraId="6376A68E" w14:textId="77777777" w:rsidR="00662D07" w:rsidRPr="003D3DFE" w:rsidRDefault="00662D07" w:rsidP="00FF1158">
            <w:pP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Fuel tax</w:t>
            </w:r>
          </w:p>
        </w:tc>
        <w:tc>
          <w:tcPr>
            <w:tcW w:w="589" w:type="pct"/>
            <w:shd w:val="clear" w:color="auto" w:fill="auto"/>
            <w:noWrap/>
            <w:vAlign w:val="bottom"/>
          </w:tcPr>
          <w:p w14:paraId="59E08288"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1</w:t>
            </w:r>
          </w:p>
        </w:tc>
        <w:tc>
          <w:tcPr>
            <w:tcW w:w="590" w:type="pct"/>
            <w:shd w:val="clear" w:color="auto" w:fill="auto"/>
            <w:noWrap/>
            <w:vAlign w:val="bottom"/>
          </w:tcPr>
          <w:p w14:paraId="14FC794B" w14:textId="77777777" w:rsidR="00662D07" w:rsidRPr="003D3DFE" w:rsidRDefault="00662D07" w:rsidP="00FF1158">
            <w:pPr>
              <w:jc w:val="center"/>
              <w:rPr>
                <w:rFonts w:ascii="Helvetica Neue" w:eastAsia="Times New Roman" w:hAnsi="Helvetica Neue"/>
                <w:color w:val="232323"/>
                <w:sz w:val="16"/>
                <w:szCs w:val="16"/>
              </w:rPr>
            </w:pPr>
          </w:p>
        </w:tc>
        <w:tc>
          <w:tcPr>
            <w:tcW w:w="589" w:type="pct"/>
            <w:shd w:val="clear" w:color="auto" w:fill="auto"/>
            <w:noWrap/>
            <w:vAlign w:val="bottom"/>
          </w:tcPr>
          <w:p w14:paraId="34C5FC93" w14:textId="77777777" w:rsidR="00662D07" w:rsidRPr="003D3DFE" w:rsidRDefault="00662D07" w:rsidP="00FF1158">
            <w:pPr>
              <w:jc w:val="center"/>
              <w:rPr>
                <w:rFonts w:ascii="Helvetica Neue" w:eastAsia="Times New Roman" w:hAnsi="Helvetica Neue"/>
                <w:color w:val="232323"/>
                <w:sz w:val="16"/>
                <w:szCs w:val="16"/>
              </w:rPr>
            </w:pPr>
          </w:p>
        </w:tc>
        <w:tc>
          <w:tcPr>
            <w:tcW w:w="611" w:type="pct"/>
            <w:shd w:val="clear" w:color="auto" w:fill="auto"/>
            <w:noWrap/>
            <w:vAlign w:val="bottom"/>
          </w:tcPr>
          <w:p w14:paraId="2A777470"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i</w:t>
            </w:r>
            <w:r>
              <w:rPr>
                <w:rFonts w:ascii="Helvetica Neue" w:eastAsia="Times New Roman" w:hAnsi="Helvetica Neue"/>
                <w:color w:val="232323"/>
                <w:sz w:val="16"/>
                <w:szCs w:val="16"/>
              </w:rPr>
              <w:t>n</w:t>
            </w:r>
            <w:r w:rsidRPr="003D3DFE">
              <w:rPr>
                <w:rFonts w:ascii="Helvetica Neue" w:eastAsia="Times New Roman" w:hAnsi="Helvetica Neue"/>
                <w:color w:val="232323"/>
                <w:sz w:val="16"/>
                <w:szCs w:val="16"/>
              </w:rPr>
              <w:t xml:space="preserve"> fuel price</w:t>
            </w:r>
          </w:p>
        </w:tc>
        <w:tc>
          <w:tcPr>
            <w:tcW w:w="568" w:type="pct"/>
            <w:shd w:val="clear" w:color="auto" w:fill="auto"/>
            <w:noWrap/>
            <w:vAlign w:val="bottom"/>
          </w:tcPr>
          <w:p w14:paraId="43BAA8C8"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0</w:t>
            </w:r>
          </w:p>
        </w:tc>
      </w:tr>
      <w:tr w:rsidR="00662D07" w:rsidRPr="0003527D" w14:paraId="3A7AC9FF" w14:textId="77777777" w:rsidTr="00FF1158">
        <w:trPr>
          <w:trHeight w:val="20"/>
        </w:trPr>
        <w:tc>
          <w:tcPr>
            <w:tcW w:w="2053" w:type="pct"/>
            <w:shd w:val="clear" w:color="auto" w:fill="auto"/>
            <w:noWrap/>
            <w:vAlign w:val="bottom"/>
            <w:hideMark/>
          </w:tcPr>
          <w:p w14:paraId="2692E147" w14:textId="77777777" w:rsidR="00662D07" w:rsidRPr="003D3DFE" w:rsidRDefault="00662D07" w:rsidP="00FF1158">
            <w:pP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Personal income tax</w:t>
            </w:r>
          </w:p>
        </w:tc>
        <w:tc>
          <w:tcPr>
            <w:tcW w:w="589" w:type="pct"/>
            <w:shd w:val="clear" w:color="auto" w:fill="auto"/>
            <w:noWrap/>
            <w:vAlign w:val="bottom"/>
          </w:tcPr>
          <w:p w14:paraId="6BD933BC"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12</w:t>
            </w:r>
          </w:p>
        </w:tc>
        <w:tc>
          <w:tcPr>
            <w:tcW w:w="590" w:type="pct"/>
            <w:shd w:val="clear" w:color="auto" w:fill="auto"/>
            <w:noWrap/>
            <w:vAlign w:val="bottom"/>
          </w:tcPr>
          <w:p w14:paraId="06A2B66D"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120</w:t>
            </w:r>
          </w:p>
        </w:tc>
        <w:tc>
          <w:tcPr>
            <w:tcW w:w="589" w:type="pct"/>
            <w:shd w:val="clear" w:color="auto" w:fill="auto"/>
            <w:noWrap/>
            <w:vAlign w:val="bottom"/>
          </w:tcPr>
          <w:p w14:paraId="2B3D2248" w14:textId="77777777" w:rsidR="00662D07" w:rsidRPr="003D3DFE" w:rsidRDefault="00662D07" w:rsidP="00FF1158">
            <w:pPr>
              <w:jc w:val="center"/>
              <w:rPr>
                <w:rFonts w:ascii="Helvetica Neue" w:eastAsia="Times New Roman" w:hAnsi="Helvetica Neue"/>
                <w:color w:val="232323"/>
                <w:sz w:val="16"/>
                <w:szCs w:val="16"/>
              </w:rPr>
            </w:pPr>
          </w:p>
        </w:tc>
        <w:tc>
          <w:tcPr>
            <w:tcW w:w="611" w:type="pct"/>
            <w:shd w:val="clear" w:color="auto" w:fill="auto"/>
            <w:noWrap/>
            <w:vAlign w:val="bottom"/>
          </w:tcPr>
          <w:p w14:paraId="6358DDD9"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income</w:t>
            </w:r>
          </w:p>
        </w:tc>
        <w:tc>
          <w:tcPr>
            <w:tcW w:w="568" w:type="pct"/>
            <w:shd w:val="clear" w:color="auto" w:fill="auto"/>
            <w:noWrap/>
            <w:vAlign w:val="bottom"/>
          </w:tcPr>
          <w:p w14:paraId="6343C8CA" w14:textId="77777777" w:rsidR="00662D07" w:rsidRPr="003D3DFE" w:rsidRDefault="00662D07" w:rsidP="00FF1158">
            <w:pPr>
              <w:jc w:val="center"/>
              <w:rPr>
                <w:rFonts w:ascii="Helvetica Neue" w:eastAsia="Times New Roman" w:hAnsi="Helvetica Neue"/>
                <w:color w:val="232323"/>
                <w:sz w:val="16"/>
                <w:szCs w:val="16"/>
              </w:rPr>
            </w:pPr>
            <w:r w:rsidRPr="003D3DFE">
              <w:rPr>
                <w:rFonts w:ascii="Helvetica Neue" w:eastAsia="Times New Roman" w:hAnsi="Helvetica Neue"/>
                <w:color w:val="232323"/>
                <w:sz w:val="16"/>
                <w:szCs w:val="16"/>
              </w:rPr>
              <w:t>0</w:t>
            </w:r>
          </w:p>
        </w:tc>
      </w:tr>
      <w:tr w:rsidR="00662D07" w:rsidRPr="0003527D" w14:paraId="20411A3D" w14:textId="77777777" w:rsidTr="00FF1158">
        <w:trPr>
          <w:trHeight w:val="20"/>
        </w:trPr>
        <w:tc>
          <w:tcPr>
            <w:tcW w:w="2053" w:type="pct"/>
            <w:shd w:val="clear" w:color="auto" w:fill="auto"/>
            <w:noWrap/>
            <w:vAlign w:val="bottom"/>
          </w:tcPr>
          <w:p w14:paraId="13A40299" w14:textId="77777777" w:rsidR="00662D07" w:rsidRPr="003D3DFE" w:rsidRDefault="00662D07" w:rsidP="00FF1158">
            <w:pPr>
              <w:rPr>
                <w:rFonts w:ascii="Helvetica Neue" w:eastAsia="Times New Roman" w:hAnsi="Helvetica Neue"/>
                <w:color w:val="008000"/>
                <w:sz w:val="16"/>
                <w:szCs w:val="16"/>
              </w:rPr>
            </w:pPr>
            <w:r w:rsidRPr="003D3DFE">
              <w:rPr>
                <w:rFonts w:ascii="Helvetica Neue" w:eastAsia="Times New Roman" w:hAnsi="Helvetica Neue"/>
                <w:color w:val="232323"/>
                <w:sz w:val="16"/>
                <w:szCs w:val="16"/>
              </w:rPr>
              <w:t>Corporate income tax</w:t>
            </w:r>
          </w:p>
        </w:tc>
        <w:tc>
          <w:tcPr>
            <w:tcW w:w="589" w:type="pct"/>
            <w:shd w:val="clear" w:color="auto" w:fill="auto"/>
            <w:noWrap/>
            <w:vAlign w:val="bottom"/>
          </w:tcPr>
          <w:p w14:paraId="16045B96" w14:textId="77777777" w:rsidR="00662D07" w:rsidRPr="003D3DFE" w:rsidRDefault="00662D07" w:rsidP="00FF1158">
            <w:pPr>
              <w:jc w:val="center"/>
              <w:rPr>
                <w:rFonts w:ascii="Helvetica Neue" w:eastAsia="Times New Roman" w:hAnsi="Helvetica Neue"/>
                <w:color w:val="008000"/>
                <w:sz w:val="16"/>
                <w:szCs w:val="16"/>
              </w:rPr>
            </w:pPr>
            <w:r w:rsidRPr="003D3DFE">
              <w:rPr>
                <w:rFonts w:ascii="Helvetica Neue" w:eastAsia="Times New Roman" w:hAnsi="Helvetica Neue"/>
                <w:color w:val="232323"/>
                <w:sz w:val="16"/>
                <w:szCs w:val="16"/>
              </w:rPr>
              <w:t>1</w:t>
            </w:r>
          </w:p>
        </w:tc>
        <w:tc>
          <w:tcPr>
            <w:tcW w:w="590" w:type="pct"/>
            <w:shd w:val="clear" w:color="auto" w:fill="auto"/>
            <w:noWrap/>
            <w:vAlign w:val="bottom"/>
          </w:tcPr>
          <w:p w14:paraId="403A3F37" w14:textId="77777777" w:rsidR="00662D07" w:rsidRPr="003D3DFE" w:rsidRDefault="00662D07" w:rsidP="00FF1158">
            <w:pPr>
              <w:jc w:val="center"/>
              <w:rPr>
                <w:rFonts w:ascii="Helvetica Neue" w:eastAsia="Times New Roman" w:hAnsi="Helvetica Neue"/>
                <w:color w:val="008000"/>
                <w:sz w:val="16"/>
                <w:szCs w:val="16"/>
              </w:rPr>
            </w:pPr>
            <w:r w:rsidRPr="003D3DFE">
              <w:rPr>
                <w:rFonts w:ascii="Helvetica Neue" w:eastAsia="Times New Roman" w:hAnsi="Helvetica Neue"/>
                <w:color w:val="232323"/>
                <w:sz w:val="16"/>
                <w:szCs w:val="16"/>
              </w:rPr>
              <w:t>77</w:t>
            </w:r>
          </w:p>
        </w:tc>
        <w:tc>
          <w:tcPr>
            <w:tcW w:w="589" w:type="pct"/>
            <w:shd w:val="clear" w:color="auto" w:fill="auto"/>
            <w:noWrap/>
            <w:vAlign w:val="bottom"/>
          </w:tcPr>
          <w:p w14:paraId="159803E4" w14:textId="77777777" w:rsidR="00662D07" w:rsidRPr="003D3DFE" w:rsidRDefault="00662D07" w:rsidP="00FF1158">
            <w:pPr>
              <w:jc w:val="center"/>
              <w:rPr>
                <w:rFonts w:ascii="Helvetica Neue" w:eastAsia="Times New Roman" w:hAnsi="Helvetica Neue"/>
                <w:color w:val="008000"/>
                <w:sz w:val="16"/>
                <w:szCs w:val="16"/>
              </w:rPr>
            </w:pPr>
            <w:r w:rsidRPr="003D3DFE">
              <w:rPr>
                <w:rFonts w:ascii="Helvetica Neue" w:eastAsia="Times New Roman" w:hAnsi="Helvetica Neue"/>
                <w:color w:val="232323"/>
                <w:sz w:val="16"/>
                <w:szCs w:val="16"/>
              </w:rPr>
              <w:t>20%</w:t>
            </w:r>
          </w:p>
        </w:tc>
        <w:tc>
          <w:tcPr>
            <w:tcW w:w="611" w:type="pct"/>
            <w:shd w:val="clear" w:color="auto" w:fill="auto"/>
            <w:noWrap/>
            <w:vAlign w:val="bottom"/>
          </w:tcPr>
          <w:p w14:paraId="03D9EC51" w14:textId="77777777" w:rsidR="00662D07" w:rsidRPr="003D3DFE" w:rsidRDefault="00662D07" w:rsidP="00FF1158">
            <w:pPr>
              <w:jc w:val="center"/>
              <w:rPr>
                <w:rFonts w:ascii="Helvetica Neue" w:eastAsia="Times New Roman" w:hAnsi="Helvetica Neue"/>
                <w:color w:val="008000"/>
                <w:sz w:val="16"/>
                <w:szCs w:val="16"/>
              </w:rPr>
            </w:pPr>
            <w:r w:rsidRPr="003D3DFE">
              <w:rPr>
                <w:rFonts w:ascii="Helvetica Neue" w:eastAsia="Times New Roman" w:hAnsi="Helvetica Neue"/>
                <w:color w:val="232323"/>
                <w:sz w:val="16"/>
                <w:szCs w:val="16"/>
              </w:rPr>
              <w:t>profit</w:t>
            </w:r>
          </w:p>
        </w:tc>
        <w:tc>
          <w:tcPr>
            <w:tcW w:w="568" w:type="pct"/>
            <w:shd w:val="clear" w:color="auto" w:fill="auto"/>
            <w:noWrap/>
            <w:vAlign w:val="bottom"/>
          </w:tcPr>
          <w:p w14:paraId="5A4B9287" w14:textId="77777777" w:rsidR="00662D07" w:rsidRPr="003D3DFE" w:rsidRDefault="00662D07" w:rsidP="00FF1158">
            <w:pPr>
              <w:jc w:val="center"/>
              <w:rPr>
                <w:rFonts w:ascii="Helvetica Neue" w:eastAsia="Times New Roman" w:hAnsi="Helvetica Neue"/>
                <w:color w:val="008000"/>
                <w:sz w:val="16"/>
                <w:szCs w:val="16"/>
              </w:rPr>
            </w:pPr>
            <w:r w:rsidRPr="003D3DFE">
              <w:rPr>
                <w:rFonts w:ascii="Helvetica Neue" w:eastAsia="Times New Roman" w:hAnsi="Helvetica Neue"/>
                <w:color w:val="232323"/>
                <w:sz w:val="16"/>
                <w:szCs w:val="16"/>
              </w:rPr>
              <w:t>0</w:t>
            </w:r>
          </w:p>
        </w:tc>
      </w:tr>
    </w:tbl>
    <w:p w14:paraId="7C530118" w14:textId="77777777" w:rsidR="00662D07" w:rsidRPr="006F0E39" w:rsidRDefault="00662D07" w:rsidP="00DE147D">
      <w:pPr>
        <w:pStyle w:val="TableHeader1"/>
      </w:pPr>
      <w:bookmarkStart w:id="48" w:name="_Ref282947983"/>
      <w:bookmarkStart w:id="49" w:name="_Toc430414672"/>
      <w:bookmarkStart w:id="50" w:name="_Toc457162637"/>
      <w:r w:rsidRPr="006F0E39">
        <w:t>Customs Documents and Times</w:t>
      </w:r>
      <w:bookmarkEnd w:id="48"/>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9"/>
        <w:gridCol w:w="1433"/>
        <w:gridCol w:w="1108"/>
      </w:tblGrid>
      <w:tr w:rsidR="00662D07" w:rsidRPr="0003527D" w14:paraId="0B3A2A47" w14:textId="77777777" w:rsidTr="00FF1158">
        <w:trPr>
          <w:trHeight w:val="20"/>
        </w:trPr>
        <w:tc>
          <w:tcPr>
            <w:tcW w:w="5000" w:type="pct"/>
            <w:gridSpan w:val="3"/>
            <w:shd w:val="clear" w:color="auto" w:fill="C7E3C4" w:themeFill="accent4" w:themeFillTint="66"/>
            <w:noWrap/>
            <w:vAlign w:val="bottom"/>
            <w:hideMark/>
          </w:tcPr>
          <w:p w14:paraId="175DF985"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b/>
                <w:bCs/>
                <w:color w:val="000000"/>
                <w:sz w:val="16"/>
                <w:szCs w:val="16"/>
              </w:rPr>
              <w:t>Import documents</w:t>
            </w:r>
          </w:p>
        </w:tc>
      </w:tr>
      <w:tr w:rsidR="00662D07" w:rsidRPr="0003527D" w14:paraId="013CDCD6" w14:textId="77777777" w:rsidTr="00FF1158">
        <w:trPr>
          <w:trHeight w:val="241"/>
        </w:trPr>
        <w:tc>
          <w:tcPr>
            <w:tcW w:w="5000" w:type="pct"/>
            <w:gridSpan w:val="3"/>
            <w:shd w:val="clear" w:color="auto" w:fill="auto"/>
            <w:noWrap/>
            <w:vAlign w:val="bottom"/>
            <w:hideMark/>
          </w:tcPr>
          <w:p w14:paraId="517499CB"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Bill of lading</w:t>
            </w:r>
          </w:p>
        </w:tc>
      </w:tr>
      <w:tr w:rsidR="00662D07" w:rsidRPr="0003527D" w14:paraId="2C27535F" w14:textId="77777777" w:rsidTr="00FF1158">
        <w:trPr>
          <w:trHeight w:val="20"/>
        </w:trPr>
        <w:tc>
          <w:tcPr>
            <w:tcW w:w="5000" w:type="pct"/>
            <w:gridSpan w:val="3"/>
            <w:shd w:val="clear" w:color="auto" w:fill="auto"/>
            <w:noWrap/>
            <w:vAlign w:val="bottom"/>
            <w:hideMark/>
          </w:tcPr>
          <w:p w14:paraId="16F0BA49"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Certificate of origin</w:t>
            </w:r>
          </w:p>
        </w:tc>
      </w:tr>
      <w:tr w:rsidR="00662D07" w:rsidRPr="0003527D" w14:paraId="15479661" w14:textId="77777777" w:rsidTr="00FF1158">
        <w:trPr>
          <w:trHeight w:val="20"/>
        </w:trPr>
        <w:tc>
          <w:tcPr>
            <w:tcW w:w="5000" w:type="pct"/>
            <w:gridSpan w:val="3"/>
            <w:shd w:val="clear" w:color="auto" w:fill="auto"/>
            <w:noWrap/>
            <w:vAlign w:val="bottom"/>
            <w:hideMark/>
          </w:tcPr>
          <w:p w14:paraId="7BB6221C"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Clean inspection report of findings</w:t>
            </w:r>
          </w:p>
        </w:tc>
      </w:tr>
      <w:tr w:rsidR="00662D07" w:rsidRPr="0003527D" w14:paraId="7B012C75" w14:textId="77777777" w:rsidTr="00FF1158">
        <w:trPr>
          <w:trHeight w:val="20"/>
        </w:trPr>
        <w:tc>
          <w:tcPr>
            <w:tcW w:w="5000" w:type="pct"/>
            <w:gridSpan w:val="3"/>
            <w:shd w:val="clear" w:color="auto" w:fill="auto"/>
            <w:noWrap/>
            <w:vAlign w:val="bottom"/>
            <w:hideMark/>
          </w:tcPr>
          <w:p w14:paraId="7660CF64"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Commercial invoice</w:t>
            </w:r>
          </w:p>
        </w:tc>
      </w:tr>
      <w:tr w:rsidR="00662D07" w:rsidRPr="0003527D" w14:paraId="3F1110F4" w14:textId="77777777" w:rsidTr="00FF1158">
        <w:trPr>
          <w:trHeight w:val="20"/>
        </w:trPr>
        <w:tc>
          <w:tcPr>
            <w:tcW w:w="5000" w:type="pct"/>
            <w:gridSpan w:val="3"/>
            <w:shd w:val="clear" w:color="auto" w:fill="auto"/>
            <w:noWrap/>
            <w:vAlign w:val="bottom"/>
            <w:hideMark/>
          </w:tcPr>
          <w:p w14:paraId="77136B87"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Customs export declaration</w:t>
            </w:r>
          </w:p>
        </w:tc>
      </w:tr>
      <w:tr w:rsidR="00662D07" w:rsidRPr="0003527D" w14:paraId="608B40C4" w14:textId="77777777" w:rsidTr="00FF1158">
        <w:trPr>
          <w:trHeight w:val="20"/>
        </w:trPr>
        <w:tc>
          <w:tcPr>
            <w:tcW w:w="5000" w:type="pct"/>
            <w:gridSpan w:val="3"/>
            <w:shd w:val="clear" w:color="auto" w:fill="auto"/>
            <w:noWrap/>
            <w:vAlign w:val="bottom"/>
            <w:hideMark/>
          </w:tcPr>
          <w:p w14:paraId="0CC444AC"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Customs transit document</w:t>
            </w:r>
          </w:p>
        </w:tc>
      </w:tr>
      <w:tr w:rsidR="00662D07" w:rsidRPr="0003527D" w14:paraId="1B9E1395" w14:textId="77777777" w:rsidTr="00FF1158">
        <w:trPr>
          <w:trHeight w:val="20"/>
        </w:trPr>
        <w:tc>
          <w:tcPr>
            <w:tcW w:w="5000" w:type="pct"/>
            <w:gridSpan w:val="3"/>
            <w:shd w:val="clear" w:color="auto" w:fill="auto"/>
            <w:noWrap/>
            <w:vAlign w:val="bottom"/>
            <w:hideMark/>
          </w:tcPr>
          <w:p w14:paraId="59408794"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Insurance certificate</w:t>
            </w:r>
          </w:p>
        </w:tc>
      </w:tr>
      <w:tr w:rsidR="00662D07" w:rsidRPr="0003527D" w14:paraId="3AE5F827" w14:textId="77777777" w:rsidTr="00FF1158">
        <w:trPr>
          <w:trHeight w:val="20"/>
        </w:trPr>
        <w:tc>
          <w:tcPr>
            <w:tcW w:w="5000" w:type="pct"/>
            <w:gridSpan w:val="3"/>
            <w:shd w:val="clear" w:color="auto" w:fill="auto"/>
            <w:noWrap/>
            <w:vAlign w:val="bottom"/>
            <w:hideMark/>
          </w:tcPr>
          <w:p w14:paraId="1A61F44D"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NOC/ Transit permit</w:t>
            </w:r>
          </w:p>
        </w:tc>
      </w:tr>
      <w:tr w:rsidR="00662D07" w:rsidRPr="0003527D" w14:paraId="44E8CC0A" w14:textId="77777777" w:rsidTr="00FF1158">
        <w:trPr>
          <w:trHeight w:val="20"/>
        </w:trPr>
        <w:tc>
          <w:tcPr>
            <w:tcW w:w="5000" w:type="pct"/>
            <w:gridSpan w:val="3"/>
            <w:shd w:val="clear" w:color="auto" w:fill="auto"/>
            <w:noWrap/>
            <w:vAlign w:val="bottom"/>
            <w:hideMark/>
          </w:tcPr>
          <w:p w14:paraId="236DC344"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Packing list</w:t>
            </w:r>
          </w:p>
        </w:tc>
      </w:tr>
      <w:tr w:rsidR="00662D07" w:rsidRPr="004D6312" w14:paraId="3BF58B64" w14:textId="77777777" w:rsidTr="00FF1158">
        <w:trPr>
          <w:trHeight w:val="20"/>
        </w:trPr>
        <w:tc>
          <w:tcPr>
            <w:tcW w:w="5000" w:type="pct"/>
            <w:gridSpan w:val="3"/>
            <w:shd w:val="clear" w:color="auto" w:fill="auto"/>
            <w:noWrap/>
            <w:vAlign w:val="bottom"/>
            <w:hideMark/>
          </w:tcPr>
          <w:p w14:paraId="31E86849" w14:textId="77777777" w:rsidR="00662D07" w:rsidRPr="004D6312" w:rsidRDefault="00662D07" w:rsidP="00FF1158">
            <w:pPr>
              <w:rPr>
                <w:rFonts w:ascii="Helvetica Neue" w:eastAsia="Times New Roman" w:hAnsi="Helvetica Neue"/>
                <w:color w:val="000000"/>
                <w:sz w:val="16"/>
                <w:szCs w:val="16"/>
                <w:lang w:val="fr-FR"/>
              </w:rPr>
            </w:pPr>
            <w:r>
              <w:rPr>
                <w:rFonts w:ascii="Helvetica Neue" w:eastAsia="Times New Roman" w:hAnsi="Helvetica Neue"/>
                <w:color w:val="232323"/>
                <w:sz w:val="17"/>
                <w:szCs w:val="17"/>
              </w:rPr>
              <w:t>Terminal handling receipts</w:t>
            </w:r>
          </w:p>
        </w:tc>
      </w:tr>
      <w:tr w:rsidR="00662D07" w:rsidRPr="0003527D" w14:paraId="12C5927E" w14:textId="77777777" w:rsidTr="00FF1158">
        <w:trPr>
          <w:trHeight w:val="20"/>
        </w:trPr>
        <w:tc>
          <w:tcPr>
            <w:tcW w:w="3590" w:type="pct"/>
            <w:shd w:val="clear" w:color="auto" w:fill="C7E3C4" w:themeFill="accent4" w:themeFillTint="66"/>
            <w:noWrap/>
            <w:vAlign w:val="bottom"/>
            <w:hideMark/>
          </w:tcPr>
          <w:p w14:paraId="55F1511F" w14:textId="77777777" w:rsidR="00662D07" w:rsidRPr="0003527D" w:rsidRDefault="00662D07" w:rsidP="00FF1158">
            <w:pP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Nature of Import Procedures</w:t>
            </w:r>
          </w:p>
        </w:tc>
        <w:tc>
          <w:tcPr>
            <w:tcW w:w="795" w:type="pct"/>
            <w:shd w:val="clear" w:color="auto" w:fill="C7E3C4" w:themeFill="accent4" w:themeFillTint="66"/>
            <w:noWrap/>
            <w:vAlign w:val="bottom"/>
            <w:hideMark/>
          </w:tcPr>
          <w:p w14:paraId="25C1EB47" w14:textId="77777777" w:rsidR="00662D07" w:rsidRPr="0003527D" w:rsidRDefault="00662D07" w:rsidP="00FF1158">
            <w:pP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Duration (days)</w:t>
            </w:r>
          </w:p>
        </w:tc>
        <w:tc>
          <w:tcPr>
            <w:tcW w:w="615" w:type="pct"/>
            <w:shd w:val="clear" w:color="auto" w:fill="C7E3C4" w:themeFill="accent4" w:themeFillTint="66"/>
            <w:noWrap/>
            <w:vAlign w:val="bottom"/>
            <w:hideMark/>
          </w:tcPr>
          <w:p w14:paraId="1B6BD48B" w14:textId="77777777" w:rsidR="00662D07" w:rsidRPr="0003527D" w:rsidRDefault="00662D07" w:rsidP="00FF1158">
            <w:pP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US$ Cost</w:t>
            </w:r>
          </w:p>
        </w:tc>
      </w:tr>
      <w:tr w:rsidR="00662D07" w:rsidRPr="0003527D" w14:paraId="0335F517" w14:textId="77777777" w:rsidTr="00FF1158">
        <w:trPr>
          <w:trHeight w:val="20"/>
        </w:trPr>
        <w:tc>
          <w:tcPr>
            <w:tcW w:w="3590" w:type="pct"/>
            <w:shd w:val="clear" w:color="auto" w:fill="auto"/>
            <w:noWrap/>
            <w:vAlign w:val="bottom"/>
            <w:hideMark/>
          </w:tcPr>
          <w:p w14:paraId="4091B5E1"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Documents preparation</w:t>
            </w:r>
          </w:p>
        </w:tc>
        <w:tc>
          <w:tcPr>
            <w:tcW w:w="795" w:type="pct"/>
            <w:shd w:val="clear" w:color="auto" w:fill="auto"/>
            <w:noWrap/>
            <w:vAlign w:val="bottom"/>
          </w:tcPr>
          <w:p w14:paraId="30FB44DE"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49</w:t>
            </w:r>
          </w:p>
        </w:tc>
        <w:tc>
          <w:tcPr>
            <w:tcW w:w="615" w:type="pct"/>
            <w:shd w:val="clear" w:color="auto" w:fill="auto"/>
            <w:noWrap/>
            <w:vAlign w:val="bottom"/>
          </w:tcPr>
          <w:p w14:paraId="328DC11B"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680</w:t>
            </w:r>
          </w:p>
        </w:tc>
      </w:tr>
      <w:tr w:rsidR="00662D07" w:rsidRPr="0003527D" w14:paraId="05F774E2" w14:textId="77777777" w:rsidTr="00FF1158">
        <w:trPr>
          <w:trHeight w:val="20"/>
        </w:trPr>
        <w:tc>
          <w:tcPr>
            <w:tcW w:w="3590" w:type="pct"/>
            <w:shd w:val="clear" w:color="auto" w:fill="auto"/>
            <w:noWrap/>
            <w:vAlign w:val="bottom"/>
            <w:hideMark/>
          </w:tcPr>
          <w:p w14:paraId="48082362"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Customs clearance and inspections</w:t>
            </w:r>
          </w:p>
        </w:tc>
        <w:tc>
          <w:tcPr>
            <w:tcW w:w="795" w:type="pct"/>
            <w:shd w:val="clear" w:color="auto" w:fill="auto"/>
            <w:noWrap/>
            <w:vAlign w:val="bottom"/>
          </w:tcPr>
          <w:p w14:paraId="7B425100"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7</w:t>
            </w:r>
          </w:p>
        </w:tc>
        <w:tc>
          <w:tcPr>
            <w:tcW w:w="615" w:type="pct"/>
            <w:shd w:val="clear" w:color="auto" w:fill="auto"/>
            <w:noWrap/>
            <w:vAlign w:val="bottom"/>
          </w:tcPr>
          <w:p w14:paraId="3A2A5B25"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300</w:t>
            </w:r>
          </w:p>
        </w:tc>
      </w:tr>
      <w:tr w:rsidR="00662D07" w:rsidRPr="0003527D" w14:paraId="3129FBE5" w14:textId="77777777" w:rsidTr="00FF1158">
        <w:trPr>
          <w:trHeight w:val="20"/>
        </w:trPr>
        <w:tc>
          <w:tcPr>
            <w:tcW w:w="3590" w:type="pct"/>
            <w:shd w:val="clear" w:color="auto" w:fill="auto"/>
            <w:noWrap/>
            <w:vAlign w:val="bottom"/>
            <w:hideMark/>
          </w:tcPr>
          <w:p w14:paraId="014BBECC"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Ports and terminal handling</w:t>
            </w:r>
          </w:p>
        </w:tc>
        <w:tc>
          <w:tcPr>
            <w:tcW w:w="795" w:type="pct"/>
            <w:shd w:val="clear" w:color="auto" w:fill="auto"/>
            <w:noWrap/>
            <w:vAlign w:val="bottom"/>
          </w:tcPr>
          <w:p w14:paraId="51E35088"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5</w:t>
            </w:r>
          </w:p>
        </w:tc>
        <w:tc>
          <w:tcPr>
            <w:tcW w:w="615" w:type="pct"/>
            <w:shd w:val="clear" w:color="auto" w:fill="auto"/>
            <w:noWrap/>
            <w:vAlign w:val="bottom"/>
          </w:tcPr>
          <w:p w14:paraId="189542A2"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200</w:t>
            </w:r>
          </w:p>
        </w:tc>
      </w:tr>
      <w:tr w:rsidR="00662D07" w:rsidRPr="0003527D" w14:paraId="56D78B8B" w14:textId="77777777" w:rsidTr="00FF1158">
        <w:trPr>
          <w:trHeight w:val="20"/>
        </w:trPr>
        <w:tc>
          <w:tcPr>
            <w:tcW w:w="3590" w:type="pct"/>
            <w:shd w:val="clear" w:color="auto" w:fill="auto"/>
            <w:noWrap/>
            <w:vAlign w:val="bottom"/>
            <w:hideMark/>
          </w:tcPr>
          <w:p w14:paraId="32B15F20"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Inland transportation and handling</w:t>
            </w:r>
          </w:p>
        </w:tc>
        <w:tc>
          <w:tcPr>
            <w:tcW w:w="795" w:type="pct"/>
            <w:shd w:val="clear" w:color="auto" w:fill="auto"/>
            <w:noWrap/>
            <w:vAlign w:val="bottom"/>
          </w:tcPr>
          <w:p w14:paraId="599B2DC8"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30</w:t>
            </w:r>
          </w:p>
        </w:tc>
        <w:tc>
          <w:tcPr>
            <w:tcW w:w="615" w:type="pct"/>
            <w:shd w:val="clear" w:color="auto" w:fill="auto"/>
            <w:noWrap/>
            <w:vAlign w:val="bottom"/>
          </w:tcPr>
          <w:p w14:paraId="313845B9"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4,500</w:t>
            </w:r>
          </w:p>
        </w:tc>
      </w:tr>
      <w:tr w:rsidR="00662D07" w:rsidRPr="0003527D" w14:paraId="796EF6E8" w14:textId="77777777" w:rsidTr="00FF1158">
        <w:trPr>
          <w:trHeight w:val="20"/>
        </w:trPr>
        <w:tc>
          <w:tcPr>
            <w:tcW w:w="3590" w:type="pct"/>
            <w:shd w:val="clear" w:color="auto" w:fill="auto"/>
            <w:noWrap/>
            <w:vAlign w:val="bottom"/>
            <w:hideMark/>
          </w:tcPr>
          <w:p w14:paraId="26113C53" w14:textId="77777777" w:rsidR="00662D07" w:rsidRPr="003D4A0D" w:rsidRDefault="00662D07" w:rsidP="00FF1158">
            <w:pPr>
              <w:rPr>
                <w:rFonts w:ascii="Helvetica Neue" w:eastAsia="Times New Roman" w:hAnsi="Helvetica Neue"/>
                <w:b/>
                <w:color w:val="232323"/>
                <w:sz w:val="17"/>
                <w:szCs w:val="17"/>
              </w:rPr>
            </w:pPr>
            <w:r w:rsidRPr="00315DA4">
              <w:rPr>
                <w:rFonts w:ascii="Helvetica Neue" w:eastAsia="Times New Roman" w:hAnsi="Helvetica Neue"/>
                <w:b/>
                <w:color w:val="232323"/>
                <w:sz w:val="17"/>
                <w:szCs w:val="17"/>
              </w:rPr>
              <w:t>Totals</w:t>
            </w:r>
          </w:p>
        </w:tc>
        <w:tc>
          <w:tcPr>
            <w:tcW w:w="795" w:type="pct"/>
            <w:shd w:val="clear" w:color="auto" w:fill="auto"/>
            <w:noWrap/>
            <w:vAlign w:val="bottom"/>
          </w:tcPr>
          <w:p w14:paraId="7E43F40C" w14:textId="77777777" w:rsidR="00662D07" w:rsidRPr="0003527D" w:rsidRDefault="00662D07" w:rsidP="00FF1158">
            <w:pPr>
              <w:jc w:val="right"/>
              <w:rPr>
                <w:rFonts w:ascii="Helvetica Neue" w:eastAsia="Times New Roman" w:hAnsi="Helvetica Neue"/>
                <w:b/>
                <w:color w:val="232323"/>
                <w:sz w:val="16"/>
                <w:szCs w:val="16"/>
              </w:rPr>
            </w:pPr>
            <w:r>
              <w:rPr>
                <w:rFonts w:ascii="Helvetica Neue" w:eastAsia="Times New Roman" w:hAnsi="Helvetica Neue"/>
                <w:color w:val="232323"/>
                <w:sz w:val="18"/>
                <w:szCs w:val="18"/>
              </w:rPr>
              <w:t>91</w:t>
            </w:r>
          </w:p>
        </w:tc>
        <w:tc>
          <w:tcPr>
            <w:tcW w:w="615" w:type="pct"/>
            <w:shd w:val="clear" w:color="auto" w:fill="auto"/>
            <w:noWrap/>
            <w:vAlign w:val="bottom"/>
          </w:tcPr>
          <w:p w14:paraId="0FF65D88" w14:textId="77777777" w:rsidR="00662D07" w:rsidRPr="0003527D" w:rsidRDefault="00662D07" w:rsidP="00FF1158">
            <w:pPr>
              <w:jc w:val="right"/>
              <w:rPr>
                <w:rFonts w:ascii="Helvetica Neue" w:eastAsia="Times New Roman" w:hAnsi="Helvetica Neue"/>
                <w:b/>
                <w:color w:val="232323"/>
                <w:sz w:val="16"/>
                <w:szCs w:val="16"/>
              </w:rPr>
            </w:pPr>
            <w:r>
              <w:rPr>
                <w:rFonts w:ascii="Helvetica Neue" w:eastAsia="Times New Roman" w:hAnsi="Helvetica Neue"/>
                <w:color w:val="232323"/>
                <w:sz w:val="18"/>
                <w:szCs w:val="18"/>
              </w:rPr>
              <w:t>5,68</w:t>
            </w:r>
          </w:p>
        </w:tc>
      </w:tr>
      <w:tr w:rsidR="00662D07" w:rsidRPr="0003527D" w14:paraId="5D2CC4CD" w14:textId="77777777" w:rsidTr="00FF1158">
        <w:trPr>
          <w:trHeight w:val="20"/>
        </w:trPr>
        <w:tc>
          <w:tcPr>
            <w:tcW w:w="5000" w:type="pct"/>
            <w:gridSpan w:val="3"/>
            <w:shd w:val="clear" w:color="auto" w:fill="C7E3C4" w:themeFill="accent4" w:themeFillTint="66"/>
            <w:noWrap/>
            <w:vAlign w:val="bottom"/>
            <w:hideMark/>
          </w:tcPr>
          <w:p w14:paraId="31030D94"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b/>
                <w:bCs/>
                <w:color w:val="000000"/>
                <w:sz w:val="16"/>
                <w:szCs w:val="16"/>
              </w:rPr>
              <w:t xml:space="preserve">Export documents </w:t>
            </w:r>
          </w:p>
        </w:tc>
      </w:tr>
      <w:tr w:rsidR="00662D07" w:rsidRPr="0003527D" w14:paraId="62365F73" w14:textId="77777777" w:rsidTr="00FF1158">
        <w:trPr>
          <w:trHeight w:val="229"/>
        </w:trPr>
        <w:tc>
          <w:tcPr>
            <w:tcW w:w="5000" w:type="pct"/>
            <w:gridSpan w:val="3"/>
            <w:shd w:val="clear" w:color="auto" w:fill="auto"/>
            <w:noWrap/>
            <w:vAlign w:val="bottom"/>
            <w:hideMark/>
          </w:tcPr>
          <w:p w14:paraId="1986C4BE"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Bill of lading</w:t>
            </w:r>
          </w:p>
        </w:tc>
      </w:tr>
      <w:tr w:rsidR="00662D07" w:rsidRPr="0003527D" w14:paraId="0F6B06E8" w14:textId="77777777" w:rsidTr="00FF1158">
        <w:trPr>
          <w:trHeight w:val="20"/>
        </w:trPr>
        <w:tc>
          <w:tcPr>
            <w:tcW w:w="5000" w:type="pct"/>
            <w:gridSpan w:val="3"/>
            <w:shd w:val="clear" w:color="auto" w:fill="auto"/>
            <w:noWrap/>
            <w:vAlign w:val="bottom"/>
          </w:tcPr>
          <w:p w14:paraId="5AF8A1FB"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Certificate of origin</w:t>
            </w:r>
          </w:p>
        </w:tc>
      </w:tr>
      <w:tr w:rsidR="00662D07" w:rsidRPr="0003527D" w14:paraId="22C0D009" w14:textId="77777777" w:rsidTr="00FF1158">
        <w:trPr>
          <w:trHeight w:val="20"/>
        </w:trPr>
        <w:tc>
          <w:tcPr>
            <w:tcW w:w="5000" w:type="pct"/>
            <w:gridSpan w:val="3"/>
            <w:shd w:val="clear" w:color="auto" w:fill="auto"/>
            <w:noWrap/>
            <w:vAlign w:val="bottom"/>
          </w:tcPr>
          <w:p w14:paraId="17F4BB44"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Clean inspection report of findings</w:t>
            </w:r>
          </w:p>
        </w:tc>
      </w:tr>
      <w:tr w:rsidR="00662D07" w:rsidRPr="0003527D" w14:paraId="58E7F295" w14:textId="77777777" w:rsidTr="00FF1158">
        <w:trPr>
          <w:trHeight w:val="20"/>
        </w:trPr>
        <w:tc>
          <w:tcPr>
            <w:tcW w:w="5000" w:type="pct"/>
            <w:gridSpan w:val="3"/>
            <w:shd w:val="clear" w:color="auto" w:fill="auto"/>
            <w:noWrap/>
            <w:vAlign w:val="bottom"/>
          </w:tcPr>
          <w:p w14:paraId="59F9A2D0"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Commercial invoice</w:t>
            </w:r>
          </w:p>
        </w:tc>
      </w:tr>
      <w:tr w:rsidR="00662D07" w:rsidRPr="0003527D" w14:paraId="4B14E3C1" w14:textId="77777777" w:rsidTr="00FF1158">
        <w:trPr>
          <w:trHeight w:val="20"/>
        </w:trPr>
        <w:tc>
          <w:tcPr>
            <w:tcW w:w="5000" w:type="pct"/>
            <w:gridSpan w:val="3"/>
            <w:shd w:val="clear" w:color="auto" w:fill="auto"/>
            <w:noWrap/>
            <w:vAlign w:val="bottom"/>
          </w:tcPr>
          <w:p w14:paraId="555222FB"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Customs export declaration</w:t>
            </w:r>
          </w:p>
        </w:tc>
      </w:tr>
      <w:tr w:rsidR="00662D07" w:rsidRPr="0003527D" w14:paraId="69BB8140" w14:textId="77777777" w:rsidTr="00FF1158">
        <w:trPr>
          <w:trHeight w:val="20"/>
        </w:trPr>
        <w:tc>
          <w:tcPr>
            <w:tcW w:w="5000" w:type="pct"/>
            <w:gridSpan w:val="3"/>
            <w:shd w:val="clear" w:color="auto" w:fill="auto"/>
            <w:noWrap/>
            <w:vAlign w:val="bottom"/>
            <w:hideMark/>
          </w:tcPr>
          <w:p w14:paraId="7B724484"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Customs transit document</w:t>
            </w:r>
          </w:p>
        </w:tc>
      </w:tr>
      <w:tr w:rsidR="00662D07" w:rsidRPr="0003527D" w14:paraId="794190B6" w14:textId="77777777" w:rsidTr="00FF1158">
        <w:trPr>
          <w:trHeight w:val="20"/>
        </w:trPr>
        <w:tc>
          <w:tcPr>
            <w:tcW w:w="5000" w:type="pct"/>
            <w:gridSpan w:val="3"/>
            <w:shd w:val="clear" w:color="auto" w:fill="auto"/>
            <w:noWrap/>
            <w:vAlign w:val="bottom"/>
            <w:hideMark/>
          </w:tcPr>
          <w:p w14:paraId="595A537C"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Insurance certificate</w:t>
            </w:r>
          </w:p>
        </w:tc>
      </w:tr>
      <w:tr w:rsidR="00662D07" w:rsidRPr="0003527D" w14:paraId="005E48BA" w14:textId="77777777" w:rsidTr="00FF1158">
        <w:trPr>
          <w:trHeight w:val="20"/>
        </w:trPr>
        <w:tc>
          <w:tcPr>
            <w:tcW w:w="5000" w:type="pct"/>
            <w:gridSpan w:val="3"/>
            <w:shd w:val="clear" w:color="auto" w:fill="auto"/>
            <w:noWrap/>
            <w:vAlign w:val="bottom"/>
            <w:hideMark/>
          </w:tcPr>
          <w:p w14:paraId="6359A00F"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NOC/ Transit permit</w:t>
            </w:r>
          </w:p>
        </w:tc>
      </w:tr>
      <w:tr w:rsidR="00662D07" w:rsidRPr="0003527D" w14:paraId="1CFA5F75" w14:textId="77777777" w:rsidTr="00FF1158">
        <w:trPr>
          <w:trHeight w:val="20"/>
        </w:trPr>
        <w:tc>
          <w:tcPr>
            <w:tcW w:w="5000" w:type="pct"/>
            <w:gridSpan w:val="3"/>
            <w:shd w:val="clear" w:color="auto" w:fill="auto"/>
            <w:noWrap/>
            <w:vAlign w:val="bottom"/>
            <w:hideMark/>
          </w:tcPr>
          <w:p w14:paraId="3C18C2EA"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lastRenderedPageBreak/>
              <w:t>Packing list</w:t>
            </w:r>
          </w:p>
        </w:tc>
      </w:tr>
      <w:tr w:rsidR="00662D07" w:rsidRPr="0003527D" w14:paraId="6C230F4B" w14:textId="77777777" w:rsidTr="00FF1158">
        <w:trPr>
          <w:trHeight w:val="20"/>
        </w:trPr>
        <w:tc>
          <w:tcPr>
            <w:tcW w:w="5000" w:type="pct"/>
            <w:gridSpan w:val="3"/>
            <w:shd w:val="clear" w:color="auto" w:fill="auto"/>
            <w:noWrap/>
            <w:vAlign w:val="bottom"/>
            <w:hideMark/>
          </w:tcPr>
          <w:p w14:paraId="4C2CC233" w14:textId="77777777" w:rsidR="00662D07" w:rsidRPr="0003527D" w:rsidRDefault="00662D07" w:rsidP="00FF1158">
            <w:pPr>
              <w:rPr>
                <w:rFonts w:ascii="Helvetica Neue" w:eastAsia="Times New Roman" w:hAnsi="Helvetica Neue"/>
                <w:color w:val="000000"/>
                <w:sz w:val="16"/>
                <w:szCs w:val="16"/>
              </w:rPr>
            </w:pPr>
            <w:r>
              <w:rPr>
                <w:rFonts w:ascii="Helvetica Neue" w:eastAsia="Times New Roman" w:hAnsi="Helvetica Neue"/>
                <w:color w:val="232323"/>
                <w:sz w:val="17"/>
                <w:szCs w:val="17"/>
              </w:rPr>
              <w:t>Terminal handling receipts</w:t>
            </w:r>
          </w:p>
        </w:tc>
      </w:tr>
      <w:tr w:rsidR="00662D07" w:rsidRPr="0003527D" w14:paraId="71D0545A" w14:textId="77777777" w:rsidTr="00FF1158">
        <w:trPr>
          <w:trHeight w:val="20"/>
        </w:trPr>
        <w:tc>
          <w:tcPr>
            <w:tcW w:w="3590" w:type="pct"/>
            <w:shd w:val="clear" w:color="auto" w:fill="C7E3C4" w:themeFill="accent4" w:themeFillTint="66"/>
            <w:noWrap/>
            <w:vAlign w:val="bottom"/>
            <w:hideMark/>
          </w:tcPr>
          <w:p w14:paraId="180E9840" w14:textId="77777777" w:rsidR="00662D07" w:rsidRPr="0003527D" w:rsidRDefault="00662D07" w:rsidP="00FF1158">
            <w:pP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Nature of Export Procedures</w:t>
            </w:r>
          </w:p>
        </w:tc>
        <w:tc>
          <w:tcPr>
            <w:tcW w:w="795" w:type="pct"/>
            <w:shd w:val="clear" w:color="auto" w:fill="C7E3C4" w:themeFill="accent4" w:themeFillTint="66"/>
            <w:noWrap/>
            <w:vAlign w:val="bottom"/>
            <w:hideMark/>
          </w:tcPr>
          <w:p w14:paraId="02F3873A" w14:textId="77777777" w:rsidR="00662D07" w:rsidRPr="0003527D" w:rsidRDefault="00662D07" w:rsidP="00FF1158">
            <w:pP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Duration (days)</w:t>
            </w:r>
          </w:p>
        </w:tc>
        <w:tc>
          <w:tcPr>
            <w:tcW w:w="615" w:type="pct"/>
            <w:shd w:val="clear" w:color="auto" w:fill="C7E3C4" w:themeFill="accent4" w:themeFillTint="66"/>
            <w:noWrap/>
            <w:vAlign w:val="bottom"/>
            <w:hideMark/>
          </w:tcPr>
          <w:p w14:paraId="5397637B" w14:textId="77777777" w:rsidR="00662D07" w:rsidRPr="0003527D" w:rsidRDefault="00662D07" w:rsidP="00FF1158">
            <w:pPr>
              <w:rPr>
                <w:rFonts w:ascii="Helvetica Neue" w:eastAsia="Times New Roman" w:hAnsi="Helvetica Neue"/>
                <w:b/>
                <w:bCs/>
                <w:color w:val="000000"/>
                <w:sz w:val="16"/>
                <w:szCs w:val="16"/>
              </w:rPr>
            </w:pPr>
            <w:r w:rsidRPr="0003527D">
              <w:rPr>
                <w:rFonts w:ascii="Helvetica Neue" w:eastAsia="Times New Roman" w:hAnsi="Helvetica Neue"/>
                <w:b/>
                <w:bCs/>
                <w:color w:val="000000"/>
                <w:sz w:val="16"/>
                <w:szCs w:val="16"/>
              </w:rPr>
              <w:t>US$ Cost</w:t>
            </w:r>
          </w:p>
        </w:tc>
      </w:tr>
      <w:tr w:rsidR="00662D07" w:rsidRPr="0003527D" w14:paraId="2E1B8DD2" w14:textId="77777777" w:rsidTr="00FF1158">
        <w:trPr>
          <w:trHeight w:val="20"/>
        </w:trPr>
        <w:tc>
          <w:tcPr>
            <w:tcW w:w="3590" w:type="pct"/>
            <w:shd w:val="clear" w:color="auto" w:fill="auto"/>
            <w:noWrap/>
            <w:vAlign w:val="bottom"/>
            <w:hideMark/>
          </w:tcPr>
          <w:p w14:paraId="6040FC66"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Documents preparation</w:t>
            </w:r>
          </w:p>
        </w:tc>
        <w:tc>
          <w:tcPr>
            <w:tcW w:w="795" w:type="pct"/>
            <w:shd w:val="clear" w:color="auto" w:fill="auto"/>
            <w:noWrap/>
            <w:vAlign w:val="bottom"/>
          </w:tcPr>
          <w:p w14:paraId="381FD110"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49</w:t>
            </w:r>
          </w:p>
        </w:tc>
        <w:tc>
          <w:tcPr>
            <w:tcW w:w="615" w:type="pct"/>
            <w:shd w:val="clear" w:color="auto" w:fill="auto"/>
            <w:noWrap/>
            <w:vAlign w:val="bottom"/>
          </w:tcPr>
          <w:p w14:paraId="37A41DE4"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680</w:t>
            </w:r>
          </w:p>
        </w:tc>
      </w:tr>
      <w:tr w:rsidR="00662D07" w:rsidRPr="0003527D" w14:paraId="7AF752E9" w14:textId="77777777" w:rsidTr="00FF1158">
        <w:trPr>
          <w:trHeight w:val="20"/>
        </w:trPr>
        <w:tc>
          <w:tcPr>
            <w:tcW w:w="3590" w:type="pct"/>
            <w:shd w:val="clear" w:color="auto" w:fill="auto"/>
            <w:noWrap/>
            <w:vAlign w:val="bottom"/>
            <w:hideMark/>
          </w:tcPr>
          <w:p w14:paraId="721C6A88"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Customs clearance and inspections</w:t>
            </w:r>
          </w:p>
        </w:tc>
        <w:tc>
          <w:tcPr>
            <w:tcW w:w="795" w:type="pct"/>
            <w:shd w:val="clear" w:color="auto" w:fill="auto"/>
            <w:noWrap/>
            <w:vAlign w:val="bottom"/>
          </w:tcPr>
          <w:p w14:paraId="472FDAEB"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7</w:t>
            </w:r>
          </w:p>
        </w:tc>
        <w:tc>
          <w:tcPr>
            <w:tcW w:w="615" w:type="pct"/>
            <w:shd w:val="clear" w:color="auto" w:fill="auto"/>
            <w:noWrap/>
            <w:vAlign w:val="bottom"/>
          </w:tcPr>
          <w:p w14:paraId="11EE386C"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300</w:t>
            </w:r>
          </w:p>
        </w:tc>
      </w:tr>
      <w:tr w:rsidR="00662D07" w:rsidRPr="0003527D" w14:paraId="09C37D3C" w14:textId="77777777" w:rsidTr="00FF1158">
        <w:trPr>
          <w:trHeight w:val="20"/>
        </w:trPr>
        <w:tc>
          <w:tcPr>
            <w:tcW w:w="3590" w:type="pct"/>
            <w:shd w:val="clear" w:color="auto" w:fill="auto"/>
            <w:noWrap/>
            <w:vAlign w:val="bottom"/>
            <w:hideMark/>
          </w:tcPr>
          <w:p w14:paraId="7D34A003"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Ports and terminal handling</w:t>
            </w:r>
          </w:p>
        </w:tc>
        <w:tc>
          <w:tcPr>
            <w:tcW w:w="795" w:type="pct"/>
            <w:shd w:val="clear" w:color="auto" w:fill="auto"/>
            <w:noWrap/>
            <w:vAlign w:val="bottom"/>
          </w:tcPr>
          <w:p w14:paraId="66EB9E88"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5</w:t>
            </w:r>
          </w:p>
        </w:tc>
        <w:tc>
          <w:tcPr>
            <w:tcW w:w="615" w:type="pct"/>
            <w:shd w:val="clear" w:color="auto" w:fill="auto"/>
            <w:noWrap/>
            <w:vAlign w:val="bottom"/>
          </w:tcPr>
          <w:p w14:paraId="782DA297"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200</w:t>
            </w:r>
          </w:p>
        </w:tc>
      </w:tr>
      <w:tr w:rsidR="00662D07" w:rsidRPr="0003527D" w14:paraId="510734B8" w14:textId="77777777" w:rsidTr="00FF1158">
        <w:trPr>
          <w:trHeight w:val="20"/>
        </w:trPr>
        <w:tc>
          <w:tcPr>
            <w:tcW w:w="3590" w:type="pct"/>
            <w:shd w:val="clear" w:color="auto" w:fill="auto"/>
            <w:noWrap/>
            <w:vAlign w:val="bottom"/>
            <w:hideMark/>
          </w:tcPr>
          <w:p w14:paraId="2BA81C5F" w14:textId="77777777" w:rsidR="00662D07" w:rsidRPr="0003527D" w:rsidRDefault="00662D07" w:rsidP="00FF1158">
            <w:pPr>
              <w:rPr>
                <w:rFonts w:ascii="Helvetica Neue" w:eastAsia="Times New Roman" w:hAnsi="Helvetica Neue"/>
                <w:color w:val="232323"/>
                <w:sz w:val="16"/>
                <w:szCs w:val="16"/>
              </w:rPr>
            </w:pPr>
            <w:r>
              <w:rPr>
                <w:rFonts w:ascii="Helvetica Neue" w:eastAsia="Times New Roman" w:hAnsi="Helvetica Neue"/>
                <w:color w:val="232323"/>
                <w:sz w:val="17"/>
                <w:szCs w:val="17"/>
              </w:rPr>
              <w:t>Inland transportation and handling</w:t>
            </w:r>
          </w:p>
        </w:tc>
        <w:tc>
          <w:tcPr>
            <w:tcW w:w="795" w:type="pct"/>
            <w:shd w:val="clear" w:color="auto" w:fill="auto"/>
            <w:noWrap/>
            <w:vAlign w:val="bottom"/>
          </w:tcPr>
          <w:p w14:paraId="6B553D7A"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30</w:t>
            </w:r>
          </w:p>
        </w:tc>
        <w:tc>
          <w:tcPr>
            <w:tcW w:w="615" w:type="pct"/>
            <w:shd w:val="clear" w:color="auto" w:fill="auto"/>
            <w:noWrap/>
            <w:vAlign w:val="bottom"/>
          </w:tcPr>
          <w:p w14:paraId="402470C6" w14:textId="77777777" w:rsidR="00662D07" w:rsidRPr="0003527D" w:rsidRDefault="00662D07" w:rsidP="00FF1158">
            <w:pPr>
              <w:jc w:val="right"/>
              <w:rPr>
                <w:rFonts w:ascii="Helvetica Neue" w:eastAsia="Times New Roman" w:hAnsi="Helvetica Neue"/>
                <w:color w:val="232323"/>
                <w:sz w:val="16"/>
                <w:szCs w:val="16"/>
              </w:rPr>
            </w:pPr>
            <w:r>
              <w:rPr>
                <w:rFonts w:ascii="Helvetica Neue" w:eastAsia="Times New Roman" w:hAnsi="Helvetica Neue"/>
                <w:color w:val="232323"/>
                <w:sz w:val="18"/>
                <w:szCs w:val="18"/>
              </w:rPr>
              <w:t>4,500</w:t>
            </w:r>
          </w:p>
        </w:tc>
      </w:tr>
      <w:tr w:rsidR="00662D07" w:rsidRPr="003D4A0D" w14:paraId="642DB05D" w14:textId="77777777" w:rsidTr="00FF1158">
        <w:trPr>
          <w:trHeight w:val="20"/>
        </w:trPr>
        <w:tc>
          <w:tcPr>
            <w:tcW w:w="3590" w:type="pct"/>
            <w:shd w:val="clear" w:color="auto" w:fill="auto"/>
            <w:noWrap/>
            <w:vAlign w:val="bottom"/>
            <w:hideMark/>
          </w:tcPr>
          <w:p w14:paraId="1C7E5A0D" w14:textId="77777777" w:rsidR="00662D07" w:rsidRPr="003D4A0D" w:rsidRDefault="00662D07" w:rsidP="00FF1158">
            <w:pPr>
              <w:rPr>
                <w:rFonts w:ascii="Helvetica Neue" w:eastAsia="Times New Roman" w:hAnsi="Helvetica Neue"/>
                <w:b/>
                <w:color w:val="232323"/>
                <w:sz w:val="16"/>
                <w:szCs w:val="16"/>
              </w:rPr>
            </w:pPr>
            <w:r w:rsidRPr="003D4A0D">
              <w:rPr>
                <w:rFonts w:ascii="Helvetica Neue" w:eastAsia="Times New Roman" w:hAnsi="Helvetica Neue"/>
                <w:b/>
                <w:color w:val="232323"/>
                <w:sz w:val="17"/>
                <w:szCs w:val="17"/>
              </w:rPr>
              <w:t>Totals</w:t>
            </w:r>
          </w:p>
        </w:tc>
        <w:tc>
          <w:tcPr>
            <w:tcW w:w="795" w:type="pct"/>
            <w:shd w:val="clear" w:color="auto" w:fill="auto"/>
            <w:noWrap/>
            <w:vAlign w:val="bottom"/>
          </w:tcPr>
          <w:p w14:paraId="36516B15" w14:textId="77777777" w:rsidR="00662D07" w:rsidRPr="003D4A0D" w:rsidRDefault="00662D07" w:rsidP="00FF1158">
            <w:pPr>
              <w:jc w:val="right"/>
              <w:rPr>
                <w:rFonts w:ascii="Helvetica Neue" w:eastAsia="Times New Roman" w:hAnsi="Helvetica Neue"/>
                <w:b/>
                <w:color w:val="232323"/>
                <w:sz w:val="16"/>
                <w:szCs w:val="16"/>
              </w:rPr>
            </w:pPr>
            <w:r w:rsidRPr="003D4A0D">
              <w:rPr>
                <w:rFonts w:ascii="Helvetica Neue" w:eastAsia="Times New Roman" w:hAnsi="Helvetica Neue"/>
                <w:b/>
                <w:color w:val="232323"/>
                <w:sz w:val="18"/>
                <w:szCs w:val="18"/>
              </w:rPr>
              <w:t>91</w:t>
            </w:r>
          </w:p>
        </w:tc>
        <w:tc>
          <w:tcPr>
            <w:tcW w:w="615" w:type="pct"/>
            <w:shd w:val="clear" w:color="auto" w:fill="auto"/>
            <w:noWrap/>
            <w:vAlign w:val="bottom"/>
          </w:tcPr>
          <w:p w14:paraId="6C85CD9B" w14:textId="77777777" w:rsidR="00662D07" w:rsidRPr="003D4A0D" w:rsidRDefault="00662D07" w:rsidP="00FF1158">
            <w:pPr>
              <w:jc w:val="right"/>
              <w:rPr>
                <w:rFonts w:ascii="Helvetica Neue" w:eastAsia="Times New Roman" w:hAnsi="Helvetica Neue"/>
                <w:b/>
                <w:color w:val="232323"/>
                <w:sz w:val="16"/>
                <w:szCs w:val="16"/>
              </w:rPr>
            </w:pPr>
            <w:r w:rsidRPr="003D4A0D">
              <w:rPr>
                <w:rFonts w:ascii="Helvetica Neue" w:eastAsia="Times New Roman" w:hAnsi="Helvetica Neue"/>
                <w:b/>
                <w:color w:val="232323"/>
                <w:sz w:val="18"/>
                <w:szCs w:val="18"/>
              </w:rPr>
              <w:t>5,680</w:t>
            </w:r>
          </w:p>
        </w:tc>
      </w:tr>
    </w:tbl>
    <w:p w14:paraId="42C69615" w14:textId="77777777" w:rsidR="00321E4B" w:rsidRPr="00321E4B" w:rsidRDefault="00321E4B" w:rsidP="00321E4B">
      <w:pPr>
        <w:pStyle w:val="Numberedpara"/>
        <w:numPr>
          <w:ilvl w:val="0"/>
          <w:numId w:val="0"/>
        </w:numPr>
        <w:ind w:left="360"/>
      </w:pPr>
    </w:p>
    <w:p w14:paraId="6AA65173" w14:textId="120592E4" w:rsidR="00FE56E3" w:rsidRDefault="00D734C9" w:rsidP="00321E4B">
      <w:pPr>
        <w:pStyle w:val="Numberedpara"/>
      </w:pPr>
      <w:r>
        <w:rPr>
          <w:b/>
        </w:rPr>
        <w:t xml:space="preserve"> </w:t>
      </w:r>
      <w:r w:rsidR="009C7E15">
        <w:rPr>
          <w:b/>
        </w:rPr>
        <w:t>C</w:t>
      </w:r>
      <w:r w:rsidR="009C7E15" w:rsidRPr="00317A0E">
        <w:rPr>
          <w:b/>
        </w:rPr>
        <w:t xml:space="preserve">ustom-designed medium term targets </w:t>
      </w:r>
      <w:r w:rsidR="00CA7DE5">
        <w:rPr>
          <w:b/>
        </w:rPr>
        <w:t>are</w:t>
      </w:r>
      <w:r w:rsidR="009C7E15">
        <w:rPr>
          <w:b/>
        </w:rPr>
        <w:t xml:space="preserve"> i</w:t>
      </w:r>
      <w:r w:rsidR="009C7E15" w:rsidRPr="00317A0E">
        <w:rPr>
          <w:b/>
        </w:rPr>
        <w:t xml:space="preserve">n place for </w:t>
      </w:r>
      <w:r w:rsidR="009C7E15">
        <w:rPr>
          <w:b/>
        </w:rPr>
        <w:t>certain</w:t>
      </w:r>
      <w:r w:rsidR="009C7E15" w:rsidRPr="00317A0E">
        <w:rPr>
          <w:b/>
        </w:rPr>
        <w:t xml:space="preserve"> teams</w:t>
      </w:r>
      <w:r w:rsidR="009C7E15">
        <w:t xml:space="preserve">. These are reflected in the </w:t>
      </w:r>
      <w:r w:rsidR="008041D0">
        <w:t xml:space="preserve">individual teams’ </w:t>
      </w:r>
      <w:r w:rsidR="009E47FD">
        <w:t>5-year</w:t>
      </w:r>
      <w:r w:rsidR="009C7E15">
        <w:t xml:space="preserve"> plans and have annualised targets as well</w:t>
      </w:r>
      <w:r w:rsidR="00321E4B">
        <w:t xml:space="preserve"> as medium-</w:t>
      </w:r>
      <w:r w:rsidR="00FE56E3">
        <w:t>term expected outcomes</w:t>
      </w:r>
      <w:r w:rsidR="009C7E15">
        <w:t xml:space="preserve">. </w:t>
      </w:r>
    </w:p>
    <w:p w14:paraId="1F28300E" w14:textId="2028027F" w:rsidR="009776B9" w:rsidRDefault="009776B9" w:rsidP="00321E4B">
      <w:pPr>
        <w:pStyle w:val="Heading4"/>
      </w:pPr>
      <w:r w:rsidRPr="00FE56E3">
        <w:t>Reform Risk-Return</w:t>
      </w:r>
      <w:r w:rsidR="00DC399A" w:rsidRPr="00FE56E3">
        <w:t xml:space="preserve"> P</w:t>
      </w:r>
      <w:r w:rsidR="006D5D58" w:rsidRPr="00FE56E3">
        <w:t>rofiles</w:t>
      </w:r>
      <w:r w:rsidR="006D5D58">
        <w:t xml:space="preserve"> </w:t>
      </w:r>
      <w:r w:rsidR="006D5D58" w:rsidRPr="00FE56E3">
        <w:t xml:space="preserve">– </w:t>
      </w:r>
      <w:r w:rsidR="00E73A22" w:rsidRPr="00FE56E3">
        <w:t>Calcu</w:t>
      </w:r>
      <w:r w:rsidR="00B16398" w:rsidRPr="00FE56E3">
        <w:t>l</w:t>
      </w:r>
      <w:r w:rsidR="00E73A22" w:rsidRPr="00FE56E3">
        <w:t>ated</w:t>
      </w:r>
      <w:r w:rsidR="006D5D58" w:rsidRPr="00FE56E3">
        <w:t xml:space="preserve"> Risk T</w:t>
      </w:r>
      <w:r w:rsidRPr="00FE56E3">
        <w:t>aking</w:t>
      </w:r>
    </w:p>
    <w:p w14:paraId="7078195A" w14:textId="0043FA8B" w:rsidR="00D0544F" w:rsidRDefault="008041D0" w:rsidP="00A33BDF">
      <w:pPr>
        <w:pStyle w:val="Numberedpara"/>
      </w:pPr>
      <w:r>
        <w:rPr>
          <w:b/>
        </w:rPr>
        <w:t xml:space="preserve"> </w:t>
      </w:r>
      <w:r w:rsidR="001749F3" w:rsidRPr="001749F3">
        <w:rPr>
          <w:b/>
        </w:rPr>
        <w:t>T</w:t>
      </w:r>
      <w:r w:rsidR="00FE56E3">
        <w:rPr>
          <w:b/>
        </w:rPr>
        <w:t xml:space="preserve">his </w:t>
      </w:r>
      <w:r w:rsidR="009E47FD">
        <w:rPr>
          <w:b/>
        </w:rPr>
        <w:t>5</w:t>
      </w:r>
      <w:r w:rsidR="009E47FD" w:rsidRPr="001749F3">
        <w:rPr>
          <w:b/>
        </w:rPr>
        <w:t>-year</w:t>
      </w:r>
      <w:r w:rsidR="001749F3" w:rsidRPr="001749F3">
        <w:rPr>
          <w:b/>
        </w:rPr>
        <w:t xml:space="preserve"> plan takes on the biggest challenges - but this </w:t>
      </w:r>
      <w:r w:rsidR="00232934" w:rsidRPr="001749F3">
        <w:rPr>
          <w:b/>
        </w:rPr>
        <w:t xml:space="preserve">risk of failure is high. </w:t>
      </w:r>
      <w:r w:rsidR="00CA7DE5">
        <w:t>Comprehensive documentation of s</w:t>
      </w:r>
      <w:r w:rsidR="001749F3" w:rsidRPr="001749F3">
        <w:t xml:space="preserve">ystemic weaknesses in public financial management </w:t>
      </w:r>
      <w:r w:rsidR="00CA7DE5">
        <w:t>are including in</w:t>
      </w:r>
      <w:r w:rsidR="001749F3">
        <w:t xml:space="preserve"> PEFA assessments and the Presidential Fiduciary Risk Assessment</w:t>
      </w:r>
      <w:r w:rsidR="001749F3" w:rsidRPr="001749F3">
        <w:t>.</w:t>
      </w:r>
      <w:r w:rsidR="00153D4C">
        <w:t xml:space="preserve"> This</w:t>
      </w:r>
      <w:r w:rsidR="00FE56E3">
        <w:t xml:space="preserve"> </w:t>
      </w:r>
      <w:r w:rsidR="009E47FD">
        <w:t>5-year</w:t>
      </w:r>
      <w:r w:rsidR="001749F3">
        <w:t xml:space="preserve"> plan tackles these weaknesses. Moreover, </w:t>
      </w:r>
      <w:r w:rsidR="00CA7DE5">
        <w:t>ow</w:t>
      </w:r>
      <w:r w:rsidR="00D0544F">
        <w:t>nership of the proposed refor</w:t>
      </w:r>
      <w:r w:rsidR="00CA7DE5">
        <w:t xml:space="preserve">ms is high as teams developed their own plans and </w:t>
      </w:r>
      <w:r w:rsidR="00FE56E3">
        <w:t>ultimately agreed to</w:t>
      </w:r>
      <w:r w:rsidR="00D0544F">
        <w:t xml:space="preserve"> the content and sequencing of activities</w:t>
      </w:r>
      <w:r w:rsidR="000A3185">
        <w:t xml:space="preserve">. </w:t>
      </w:r>
      <w:r w:rsidR="004F681B">
        <w:t>Throu</w:t>
      </w:r>
      <w:r w:rsidR="000A3185">
        <w:t xml:space="preserve">gh the planning </w:t>
      </w:r>
      <w:r w:rsidR="009E47FD">
        <w:t>process,</w:t>
      </w:r>
      <w:r w:rsidR="000A3185">
        <w:t xml:space="preserve"> the imp</w:t>
      </w:r>
      <w:r w:rsidR="004F681B">
        <w:t xml:space="preserve">acts and risks were </w:t>
      </w:r>
      <w:r w:rsidR="00153D4C">
        <w:t>analysed</w:t>
      </w:r>
      <w:r w:rsidR="004F681B">
        <w:t xml:space="preserve"> using the Diamond approach (see footnote </w:t>
      </w:r>
      <w:r>
        <w:t>7</w:t>
      </w:r>
      <w:r w:rsidR="004F681B">
        <w:t xml:space="preserve">). </w:t>
      </w:r>
    </w:p>
    <w:p w14:paraId="0844940A" w14:textId="7AE0F723" w:rsidR="00321E4B" w:rsidRDefault="00D734C9" w:rsidP="00A33BDF">
      <w:pPr>
        <w:pStyle w:val="Numberedpara"/>
      </w:pPr>
      <w:r>
        <w:rPr>
          <w:b/>
        </w:rPr>
        <w:t xml:space="preserve"> </w:t>
      </w:r>
      <w:r w:rsidR="004F681B" w:rsidRPr="00D0544F">
        <w:rPr>
          <w:b/>
        </w:rPr>
        <w:t>This approach hel</w:t>
      </w:r>
      <w:r w:rsidR="00153D4C" w:rsidRPr="00D0544F">
        <w:rPr>
          <w:b/>
        </w:rPr>
        <w:t>ps to manage the risk</w:t>
      </w:r>
      <w:r w:rsidR="000562CF" w:rsidRPr="00D0544F">
        <w:rPr>
          <w:b/>
        </w:rPr>
        <w:t xml:space="preserve"> of failure, making sure that the Government</w:t>
      </w:r>
      <w:r w:rsidR="004F681B" w:rsidRPr="00D0544F">
        <w:rPr>
          <w:b/>
        </w:rPr>
        <w:t xml:space="preserve"> deliver</w:t>
      </w:r>
      <w:r w:rsidR="008041D0" w:rsidRPr="00D0544F">
        <w:rPr>
          <w:b/>
        </w:rPr>
        <w:t>s</w:t>
      </w:r>
      <w:r w:rsidR="004F681B" w:rsidRPr="00D0544F">
        <w:rPr>
          <w:b/>
        </w:rPr>
        <w:t xml:space="preserve"> </w:t>
      </w:r>
      <w:r w:rsidR="00153D4C" w:rsidRPr="00D0544F">
        <w:rPr>
          <w:b/>
        </w:rPr>
        <w:t xml:space="preserve">on </w:t>
      </w:r>
      <w:r w:rsidR="004F681B" w:rsidRPr="00D0544F">
        <w:rPr>
          <w:b/>
        </w:rPr>
        <w:t>reform</w:t>
      </w:r>
      <w:r w:rsidR="00153D4C" w:rsidRPr="00D0544F">
        <w:rPr>
          <w:b/>
        </w:rPr>
        <w:t>s</w:t>
      </w:r>
      <w:r w:rsidR="00A33BDF" w:rsidRPr="00D0544F">
        <w:rPr>
          <w:b/>
        </w:rPr>
        <w:t>.</w:t>
      </w:r>
      <w:r w:rsidR="00A33BDF">
        <w:t xml:space="preserve"> </w:t>
      </w:r>
      <w:r w:rsidR="001423FB" w:rsidRPr="00A33BDF">
        <w:t xml:space="preserve">The two </w:t>
      </w:r>
      <w:r w:rsidR="000A3185" w:rsidRPr="00A33BDF">
        <w:t xml:space="preserve">biggest </w:t>
      </w:r>
      <w:r w:rsidR="004F681B" w:rsidRPr="00A33BDF">
        <w:t>flagship</w:t>
      </w:r>
      <w:r w:rsidR="001423FB" w:rsidRPr="00A33BDF">
        <w:t xml:space="preserve"> areas of whole-of-Government </w:t>
      </w:r>
      <w:r w:rsidR="004F681B" w:rsidRPr="00A33BDF">
        <w:t>systemic reform are</w:t>
      </w:r>
      <w:r w:rsidR="001423FB" w:rsidRPr="00A33BDF">
        <w:t xml:space="preserve"> </w:t>
      </w:r>
      <w:r w:rsidR="004F681B" w:rsidRPr="00A33BDF">
        <w:t xml:space="preserve">in </w:t>
      </w:r>
      <w:r w:rsidR="00153D4C" w:rsidRPr="00A33BDF">
        <w:t xml:space="preserve">the areas of </w:t>
      </w:r>
      <w:r w:rsidR="001423FB" w:rsidRPr="00A33BDF">
        <w:t xml:space="preserve">Budget and Treasury. </w:t>
      </w:r>
    </w:p>
    <w:p w14:paraId="1CA65418" w14:textId="77777777" w:rsidR="006F11CD" w:rsidRDefault="006F11CD" w:rsidP="006F11CD">
      <w:pPr>
        <w:pStyle w:val="Numberedpara"/>
      </w:pPr>
      <w:r>
        <w:rPr>
          <w:b/>
        </w:rPr>
        <w:t>K</w:t>
      </w:r>
      <w:r w:rsidRPr="00321E4B">
        <w:rPr>
          <w:b/>
        </w:rPr>
        <w:t xml:space="preserve">ey performance indicators for the budget have shown little improvement </w:t>
      </w:r>
      <w:r>
        <w:rPr>
          <w:b/>
        </w:rPr>
        <w:t>under PEFA</w:t>
      </w:r>
      <w:r w:rsidRPr="00321E4B">
        <w:rPr>
          <w:b/>
        </w:rPr>
        <w:t xml:space="preserve"> at an average D+</w:t>
      </w:r>
      <w:r>
        <w:t xml:space="preserve"> (see </w:t>
      </w:r>
      <w:r>
        <w:fldChar w:fldCharType="begin"/>
      </w:r>
      <w:r>
        <w:instrText xml:space="preserve"> REF _Ref443216095 \n \h </w:instrText>
      </w:r>
      <w:r>
        <w:fldChar w:fldCharType="separate"/>
      </w:r>
      <w:r w:rsidR="00004C5E">
        <w:t>Figure 9</w:t>
      </w:r>
      <w:r>
        <w:fldChar w:fldCharType="end"/>
      </w:r>
      <w:r>
        <w:t xml:space="preserve">). The budget is too inaccurate to be a useful policy tool for government. Budget officials spend most of their time overseeing the contracts of line agencies (through the budget allotment process) rather than focusing on delivering aggregate fiscal discipline (accurate budgets). This is most evident in the lack of a robust new policy costing process, undermining development of robust forward estimates. The budget classification and reporting system is also still too opaque and is not sufficiently comparable with the higher standard accounting classification system. </w:t>
      </w:r>
    </w:p>
    <w:p w14:paraId="0EA4DDF5" w14:textId="77777777" w:rsidR="006F11CD" w:rsidRDefault="006F11CD" w:rsidP="006F11CD">
      <w:pPr>
        <w:pStyle w:val="Numberedpara"/>
      </w:pPr>
      <w:r w:rsidRPr="006F11CD">
        <w:rPr>
          <w:b/>
        </w:rPr>
        <w:t>The budget preparation system has in the past, essentially been a project bid aggregation system</w:t>
      </w:r>
      <w:r>
        <w:t>. A</w:t>
      </w:r>
      <w:r w:rsidRPr="00EC65C8">
        <w:t xml:space="preserve"> strong system of fis</w:t>
      </w:r>
      <w:r>
        <w:t>cal policy and strategy</w:t>
      </w:r>
      <w:r w:rsidRPr="00EC65C8">
        <w:t xml:space="preserve"> </w:t>
      </w:r>
      <w:r>
        <w:t xml:space="preserve">has not </w:t>
      </w:r>
      <w:r w:rsidRPr="00EC65C8">
        <w:t>underpinned</w:t>
      </w:r>
      <w:r>
        <w:t xml:space="preserve"> the budget</w:t>
      </w:r>
      <w:r w:rsidRPr="00EC65C8">
        <w:t xml:space="preserve">. The budget has </w:t>
      </w:r>
      <w:r>
        <w:t xml:space="preserve">in-effect </w:t>
      </w:r>
      <w:r w:rsidRPr="00EC65C8">
        <w:t>been</w:t>
      </w:r>
      <w:r>
        <w:t xml:space="preserve"> short </w:t>
      </w:r>
      <w:r w:rsidRPr="00EC65C8">
        <w:t>sighted</w:t>
      </w:r>
      <w:r>
        <w:t>,</w:t>
      </w:r>
      <w:r w:rsidRPr="00EC65C8">
        <w:t xml:space="preserve"> compromising the ability of the budget process to be a </w:t>
      </w:r>
      <w:r>
        <w:t>tool for driving and achieving G</w:t>
      </w:r>
      <w:r w:rsidRPr="00EC65C8">
        <w:t xml:space="preserve">overnment policy. The budget has also failed to set the foundations for a culture of reporting on performance, where minsters are accountable for their promises and for results. The lack of a consolidated national budget that is comparable to consolidated </w:t>
      </w:r>
      <w:r>
        <w:t xml:space="preserve">financial </w:t>
      </w:r>
      <w:r w:rsidRPr="00EC65C8">
        <w:t>accounts means that the continuous improvement function of the budget cycle is brok</w:t>
      </w:r>
      <w:r>
        <w:t>en. The plan sets out to address all these problems</w:t>
      </w:r>
      <w:r w:rsidRPr="00EC65C8">
        <w:t xml:space="preserve">. However, it will take time, with the risk of failure and false starts being high. </w:t>
      </w:r>
      <w:r w:rsidRPr="006F11CD">
        <w:rPr>
          <w:i/>
        </w:rPr>
        <w:t xml:space="preserve">The plan targets that over the next 5  years these performance scores related to budget planning execution </w:t>
      </w:r>
      <w:r w:rsidRPr="006F11CD">
        <w:rPr>
          <w:i/>
        </w:rPr>
        <w:lastRenderedPageBreak/>
        <w:t>and reporting will improve from the current D+ average towards the aspirational target of B+</w:t>
      </w:r>
      <w:r>
        <w:t xml:space="preserve">. </w:t>
      </w:r>
    </w:p>
    <w:p w14:paraId="7A85F744" w14:textId="0BEBB54E" w:rsidR="000B1D91" w:rsidRDefault="000B1D91" w:rsidP="000B1D91">
      <w:pPr>
        <w:pStyle w:val="FigureHeader"/>
      </w:pPr>
      <w:bookmarkStart w:id="51" w:name="_Ref443216095"/>
      <w:bookmarkStart w:id="52" w:name="_Toc457162657"/>
      <w:r>
        <w:t>Budget and Treasury: Solving Systemic Problems</w:t>
      </w:r>
      <w:bookmarkEnd w:id="51"/>
      <w:bookmarkEnd w:id="52"/>
    </w:p>
    <w:p w14:paraId="1039894B" w14:textId="194E873A" w:rsidR="000562CF" w:rsidRDefault="000B1D91" w:rsidP="00EC65C8">
      <w:pPr>
        <w:pBdr>
          <w:top w:val="single" w:sz="4" w:space="1" w:color="auto"/>
          <w:left w:val="single" w:sz="4" w:space="4" w:color="auto"/>
          <w:bottom w:val="single" w:sz="4" w:space="1" w:color="auto"/>
          <w:right w:val="single" w:sz="4" w:space="4" w:color="auto"/>
          <w:between w:val="single" w:sz="4" w:space="1" w:color="auto"/>
        </w:pBdr>
        <w:shd w:val="clear" w:color="auto" w:fill="E3F1E1" w:themeFill="accent4" w:themeFillTint="33"/>
        <w:jc w:val="center"/>
        <w:rPr>
          <w:b/>
        </w:rPr>
      </w:pPr>
      <w:r w:rsidRPr="000B1D91">
        <w:rPr>
          <w:noProof/>
        </w:rPr>
        <w:drawing>
          <wp:inline distT="0" distB="0" distL="0" distR="0" wp14:anchorId="25DFFBC0" wp14:editId="12CDF651">
            <wp:extent cx="5485684" cy="37363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9170" cy="3738715"/>
                    </a:xfrm>
                    <a:prstGeom prst="rect">
                      <a:avLst/>
                    </a:prstGeom>
                    <a:noFill/>
                    <a:ln>
                      <a:noFill/>
                    </a:ln>
                  </pic:spPr>
                </pic:pic>
              </a:graphicData>
            </a:graphic>
          </wp:inline>
        </w:drawing>
      </w:r>
      <w:r w:rsidRPr="000B1D91">
        <w:rPr>
          <w:noProof/>
        </w:rPr>
        <w:drawing>
          <wp:inline distT="0" distB="0" distL="0" distR="0" wp14:anchorId="267A9D81" wp14:editId="1FFC1AD5">
            <wp:extent cx="5486400" cy="35837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3583773"/>
                    </a:xfrm>
                    <a:prstGeom prst="rect">
                      <a:avLst/>
                    </a:prstGeom>
                    <a:noFill/>
                    <a:ln>
                      <a:noFill/>
                    </a:ln>
                  </pic:spPr>
                </pic:pic>
              </a:graphicData>
            </a:graphic>
          </wp:inline>
        </w:drawing>
      </w:r>
    </w:p>
    <w:p w14:paraId="2375F067" w14:textId="108FEB97" w:rsidR="00D734C9" w:rsidRPr="00D734C9" w:rsidRDefault="00D734C9" w:rsidP="00D734C9">
      <w:pPr>
        <w:pStyle w:val="Numberedpara"/>
        <w:numPr>
          <w:ilvl w:val="0"/>
          <w:numId w:val="0"/>
        </w:numPr>
        <w:ind w:left="360"/>
      </w:pPr>
    </w:p>
    <w:p w14:paraId="1599F59C" w14:textId="645D4D73" w:rsidR="00910E0B" w:rsidRDefault="00910E0B" w:rsidP="007B51F8">
      <w:pPr>
        <w:pStyle w:val="Numberedpara"/>
        <w:numPr>
          <w:ilvl w:val="0"/>
          <w:numId w:val="0"/>
        </w:numPr>
        <w:ind w:left="360" w:hanging="360"/>
      </w:pPr>
    </w:p>
    <w:p w14:paraId="27083F19" w14:textId="3C3A7197" w:rsidR="00321E4B" w:rsidRDefault="00D734C9" w:rsidP="00A07DA5">
      <w:pPr>
        <w:pStyle w:val="Numberedpara"/>
      </w:pPr>
      <w:r>
        <w:rPr>
          <w:b/>
        </w:rPr>
        <w:lastRenderedPageBreak/>
        <w:t xml:space="preserve"> </w:t>
      </w:r>
      <w:r w:rsidR="00910E0B" w:rsidRPr="00797E9C">
        <w:rPr>
          <w:b/>
        </w:rPr>
        <w:t xml:space="preserve">Treasury </w:t>
      </w:r>
      <w:r w:rsidR="00910E0B">
        <w:rPr>
          <w:b/>
        </w:rPr>
        <w:t>functions are</w:t>
      </w:r>
      <w:r w:rsidR="00910E0B" w:rsidRPr="00797E9C">
        <w:rPr>
          <w:b/>
        </w:rPr>
        <w:t xml:space="preserve"> performing much better against international standards with an average score of B</w:t>
      </w:r>
      <w:r w:rsidR="00910E0B">
        <w:rPr>
          <w:b/>
        </w:rPr>
        <w:t>, but there are</w:t>
      </w:r>
      <w:r w:rsidR="00910E0B" w:rsidRPr="00797E9C">
        <w:rPr>
          <w:b/>
        </w:rPr>
        <w:t xml:space="preserve"> challenges to overcome (see </w:t>
      </w:r>
      <w:r w:rsidR="00910E0B" w:rsidRPr="00797E9C">
        <w:rPr>
          <w:b/>
        </w:rPr>
        <w:fldChar w:fldCharType="begin"/>
      </w:r>
      <w:r w:rsidR="00910E0B" w:rsidRPr="00797E9C">
        <w:rPr>
          <w:b/>
        </w:rPr>
        <w:instrText xml:space="preserve"> REF _Ref443216095 \n \h </w:instrText>
      </w:r>
      <w:r w:rsidR="00910E0B">
        <w:rPr>
          <w:b/>
        </w:rPr>
        <w:instrText xml:space="preserve"> \* MERGEFORMAT </w:instrText>
      </w:r>
      <w:r w:rsidR="00910E0B" w:rsidRPr="00797E9C">
        <w:rPr>
          <w:b/>
        </w:rPr>
      </w:r>
      <w:r w:rsidR="00910E0B" w:rsidRPr="00797E9C">
        <w:rPr>
          <w:b/>
        </w:rPr>
        <w:fldChar w:fldCharType="separate"/>
      </w:r>
      <w:r w:rsidR="00004C5E">
        <w:rPr>
          <w:b/>
        </w:rPr>
        <w:t>Figure 9</w:t>
      </w:r>
      <w:r w:rsidR="00910E0B" w:rsidRPr="00797E9C">
        <w:rPr>
          <w:b/>
        </w:rPr>
        <w:fldChar w:fldCharType="end"/>
      </w:r>
      <w:r w:rsidR="00910E0B" w:rsidRPr="00797E9C">
        <w:rPr>
          <w:b/>
        </w:rPr>
        <w:t>).</w:t>
      </w:r>
      <w:r w:rsidR="00910E0B">
        <w:t xml:space="preserve"> W</w:t>
      </w:r>
      <w:r w:rsidR="00910E0B" w:rsidRPr="006E08FA">
        <w:t>eak budget systems – classification</w:t>
      </w:r>
      <w:r w:rsidR="00910E0B">
        <w:t xml:space="preserve">, </w:t>
      </w:r>
      <w:r w:rsidR="00910E0B" w:rsidRPr="006E08FA">
        <w:t>reporting</w:t>
      </w:r>
      <w:r w:rsidR="00910E0B">
        <w:t xml:space="preserve"> and donor data</w:t>
      </w:r>
      <w:r w:rsidR="00910E0B" w:rsidRPr="006E08FA">
        <w:t xml:space="preserve"> – delivering weak comparability of budgets and accounts</w:t>
      </w:r>
      <w:r w:rsidR="00910E0B">
        <w:t>, also undermine</w:t>
      </w:r>
      <w:r w:rsidR="00910E0B" w:rsidRPr="006E08FA">
        <w:t xml:space="preserve"> Tr</w:t>
      </w:r>
      <w:r w:rsidR="00910E0B">
        <w:t>easury’s performance scores</w:t>
      </w:r>
      <w:r w:rsidR="00910E0B" w:rsidRPr="006E08FA">
        <w:t xml:space="preserve">. </w:t>
      </w:r>
      <w:r w:rsidR="00910E0B">
        <w:t>The big reform action articulated by Treasury in its 5-year plan involves significant strengthening of the Afghanistan Financial Management Information System (AFMIS). AFMIS in its current form has performed basic cash management functions reasonably well, but needs a significant upgrade to integrate a number of functions into the system, such as contr</w:t>
      </w:r>
      <w:r w:rsidR="00A07DA5">
        <w:t>act management and procurement.</w:t>
      </w:r>
    </w:p>
    <w:p w14:paraId="53E9B4F7" w14:textId="0FCBAD10" w:rsidR="00D0544F" w:rsidRDefault="00D734C9" w:rsidP="00321E4B">
      <w:pPr>
        <w:pStyle w:val="Numberedpara"/>
      </w:pPr>
      <w:r>
        <w:rPr>
          <w:b/>
        </w:rPr>
        <w:t xml:space="preserve"> </w:t>
      </w:r>
      <w:r w:rsidR="00321E4B" w:rsidRPr="008C41A7">
        <w:rPr>
          <w:b/>
        </w:rPr>
        <w:t>Treasury in close partnership with the National Procurement Agency are planning to introduce advanced functionalities to core IT and accounting systems.</w:t>
      </w:r>
      <w:r w:rsidR="00321E4B">
        <w:t xml:space="preserve"> Highlights include: </w:t>
      </w:r>
    </w:p>
    <w:p w14:paraId="3DF8D1D9" w14:textId="77777777" w:rsidR="00D0544F" w:rsidRDefault="00321E4B" w:rsidP="00D0544F">
      <w:pPr>
        <w:pStyle w:val="Numberedpara"/>
        <w:numPr>
          <w:ilvl w:val="1"/>
          <w:numId w:val="4"/>
        </w:numPr>
      </w:pPr>
      <w:r>
        <w:t>purchasing – so that basic contract i</w:t>
      </w:r>
      <w:r w:rsidR="00D0544F">
        <w:t xml:space="preserve">nformation can be collected; </w:t>
      </w:r>
    </w:p>
    <w:p w14:paraId="7E9A91EC" w14:textId="77777777" w:rsidR="00D0544F" w:rsidRDefault="00321E4B" w:rsidP="00D0544F">
      <w:pPr>
        <w:pStyle w:val="Numberedpara"/>
        <w:numPr>
          <w:ilvl w:val="1"/>
          <w:numId w:val="4"/>
        </w:numPr>
      </w:pPr>
      <w:r>
        <w:t>improved commitment controls – so that cash is man</w:t>
      </w:r>
      <w:r w:rsidR="00D0544F">
        <w:t xml:space="preserve">aged well; </w:t>
      </w:r>
    </w:p>
    <w:p w14:paraId="6FDE7214" w14:textId="77777777" w:rsidR="00D0544F" w:rsidRDefault="00321E4B" w:rsidP="00D0544F">
      <w:pPr>
        <w:pStyle w:val="Numberedpara"/>
        <w:numPr>
          <w:ilvl w:val="1"/>
          <w:numId w:val="4"/>
        </w:numPr>
      </w:pPr>
      <w:r>
        <w:t>procurement – so that much more procurement information is li</w:t>
      </w:r>
      <w:r w:rsidR="00D0544F">
        <w:t>nked to the broader system;</w:t>
      </w:r>
    </w:p>
    <w:p w14:paraId="1386C173" w14:textId="77777777" w:rsidR="00D0544F" w:rsidRDefault="00321E4B" w:rsidP="00D0544F">
      <w:pPr>
        <w:pStyle w:val="Numberedpara"/>
        <w:numPr>
          <w:ilvl w:val="1"/>
          <w:numId w:val="4"/>
        </w:numPr>
      </w:pPr>
      <w:r>
        <w:t>contract management – so that all contracts and contract miles</w:t>
      </w:r>
      <w:r w:rsidR="00D0544F">
        <w:t>tones are on the system; and</w:t>
      </w:r>
    </w:p>
    <w:p w14:paraId="39C3085E" w14:textId="77777777" w:rsidR="00D0544F" w:rsidRDefault="008C41A7" w:rsidP="00D0544F">
      <w:pPr>
        <w:pStyle w:val="Numberedpara"/>
        <w:numPr>
          <w:ilvl w:val="1"/>
          <w:numId w:val="4"/>
        </w:numPr>
      </w:pPr>
      <w:r>
        <w:t xml:space="preserve">establishing </w:t>
      </w:r>
      <w:r w:rsidR="00321E4B">
        <w:t xml:space="preserve">a true Treasury Single Account (based around sub-accounts). </w:t>
      </w:r>
    </w:p>
    <w:p w14:paraId="3E820340" w14:textId="33AA086B" w:rsidR="00321E4B" w:rsidRDefault="00D0544F" w:rsidP="00D0544F">
      <w:pPr>
        <w:pStyle w:val="Numberedpara"/>
      </w:pPr>
      <w:r>
        <w:t xml:space="preserve"> </w:t>
      </w:r>
      <w:r w:rsidR="00321E4B" w:rsidRPr="00D0544F">
        <w:rPr>
          <w:b/>
        </w:rPr>
        <w:t>These systems will take time to implement, but the impact if successful will be enormous.</w:t>
      </w:r>
      <w:r w:rsidR="00321E4B">
        <w:t xml:space="preserve"> </w:t>
      </w:r>
      <w:r>
        <w:t>No o</w:t>
      </w:r>
      <w:r w:rsidR="00321E4B">
        <w:t>b</w:t>
      </w:r>
      <w:r>
        <w:t xml:space="preserve">ligations </w:t>
      </w:r>
      <w:r w:rsidR="00CC716F">
        <w:t>created</w:t>
      </w:r>
      <w:r w:rsidR="00321E4B">
        <w:t>, and</w:t>
      </w:r>
      <w:r>
        <w:t xml:space="preserve"> </w:t>
      </w:r>
      <w:r w:rsidR="00CC716F">
        <w:t>no payments</w:t>
      </w:r>
      <w:r>
        <w:t xml:space="preserve"> </w:t>
      </w:r>
      <w:r w:rsidR="00321E4B">
        <w:t>made, without all fiscal intelligence data being on the system. Such a system will prevent</w:t>
      </w:r>
      <w:r w:rsidR="008C41A7">
        <w:t xml:space="preserve"> against</w:t>
      </w:r>
      <w:r w:rsidR="00321E4B">
        <w:t xml:space="preserve">, detect and gather forensic level evidence of corruption and mismanagement in a much more powerful way. </w:t>
      </w:r>
    </w:p>
    <w:p w14:paraId="7FFD1C77" w14:textId="719C45A3" w:rsidR="006729D7" w:rsidRDefault="008C41A7" w:rsidP="00641577">
      <w:pPr>
        <w:pStyle w:val="Numberedpara"/>
      </w:pPr>
      <w:r>
        <w:t xml:space="preserve"> </w:t>
      </w:r>
      <w:r w:rsidR="00C340C1" w:rsidRPr="008C41A7">
        <w:rPr>
          <w:b/>
        </w:rPr>
        <w:t>Risk-Return Profiles of team</w:t>
      </w:r>
      <w:r w:rsidR="009445D5" w:rsidRPr="008C41A7">
        <w:rPr>
          <w:b/>
        </w:rPr>
        <w:t>’</w:t>
      </w:r>
      <w:r w:rsidR="00C340C1" w:rsidRPr="008C41A7">
        <w:rPr>
          <w:b/>
        </w:rPr>
        <w:t xml:space="preserve">s reform plans reveal that </w:t>
      </w:r>
      <w:r w:rsidR="00CC716F">
        <w:rPr>
          <w:b/>
        </w:rPr>
        <w:t xml:space="preserve">the proposed reforms target </w:t>
      </w:r>
      <w:r w:rsidR="002345F3" w:rsidRPr="008C41A7">
        <w:rPr>
          <w:b/>
        </w:rPr>
        <w:t xml:space="preserve">impactful and </w:t>
      </w:r>
      <w:r w:rsidR="00CC716F">
        <w:rPr>
          <w:b/>
        </w:rPr>
        <w:t>important work</w:t>
      </w:r>
      <w:r w:rsidR="002345F3" w:rsidRPr="008C41A7">
        <w:rPr>
          <w:b/>
        </w:rPr>
        <w:t xml:space="preserve"> – but at a high risk of failure.</w:t>
      </w:r>
      <w:r>
        <w:t xml:space="preserve"> Considerable</w:t>
      </w:r>
      <w:r w:rsidR="00CC716F">
        <w:t xml:space="preserve"> effort occurred</w:t>
      </w:r>
      <w:r w:rsidR="009445D5">
        <w:t xml:space="preserve"> during the planning process </w:t>
      </w:r>
      <w:r w:rsidR="002345F3">
        <w:t xml:space="preserve">to reduce </w:t>
      </w:r>
      <w:r w:rsidR="00FD7FF0">
        <w:t>the risk of failure</w:t>
      </w:r>
      <w:r w:rsidR="002345F3">
        <w:t xml:space="preserve"> by phasing </w:t>
      </w:r>
      <w:r w:rsidR="00FD7FF0">
        <w:t xml:space="preserve">in </w:t>
      </w:r>
      <w:r w:rsidR="002345F3">
        <w:t>reform</w:t>
      </w:r>
      <w:r w:rsidR="009445D5">
        <w:t>s</w:t>
      </w:r>
      <w:r w:rsidR="002345F3">
        <w:t xml:space="preserve">, or redesigning </w:t>
      </w:r>
      <w:r w:rsidR="009445D5">
        <w:t xml:space="preserve">proposed </w:t>
      </w:r>
      <w:r w:rsidR="002345F3">
        <w:t>solution</w:t>
      </w:r>
      <w:r w:rsidR="009445D5">
        <w:t>s</w:t>
      </w:r>
      <w:r w:rsidR="00FD7FF0">
        <w:t xml:space="preserve"> to include pilots</w:t>
      </w:r>
      <w:r w:rsidR="002345F3">
        <w:t>.</w:t>
      </w:r>
      <w:r w:rsidR="003C21FD">
        <w:t xml:space="preserve"> </w:t>
      </w:r>
      <w:r w:rsidR="007034F9">
        <w:t>Aggregate r</w:t>
      </w:r>
      <w:r w:rsidR="00984675">
        <w:t>isk return profiles are presented for all teams</w:t>
      </w:r>
      <w:r w:rsidR="00AC5984">
        <w:t xml:space="preserve"> (see</w:t>
      </w:r>
      <w:r w:rsidR="00984675">
        <w:t xml:space="preserve"> </w:t>
      </w:r>
      <w:r w:rsidR="00AC5984">
        <w:fldChar w:fldCharType="begin"/>
      </w:r>
      <w:r w:rsidR="00AC5984">
        <w:instrText xml:space="preserve"> REF _Ref443218766 \n \h </w:instrText>
      </w:r>
      <w:r w:rsidR="00AC5984">
        <w:fldChar w:fldCharType="separate"/>
      </w:r>
      <w:r w:rsidR="00004C5E">
        <w:t>Figure 10</w:t>
      </w:r>
      <w:r w:rsidR="00AC5984">
        <w:fldChar w:fldCharType="end"/>
      </w:r>
      <w:r w:rsidR="00AC5984">
        <w:t xml:space="preserve">) and </w:t>
      </w:r>
      <w:r w:rsidR="007034F9">
        <w:t xml:space="preserve">individual risk return profiles for </w:t>
      </w:r>
      <w:r w:rsidR="009445D5">
        <w:t>the 5</w:t>
      </w:r>
      <w:r w:rsidR="00AC5984">
        <w:t xml:space="preserve"> key teams of </w:t>
      </w:r>
      <w:r w:rsidR="00984675">
        <w:t>Budget, M</w:t>
      </w:r>
      <w:r w:rsidR="00FD7FF0">
        <w:t>acro-</w:t>
      </w:r>
      <w:r w:rsidR="00984675">
        <w:t>F</w:t>
      </w:r>
      <w:r w:rsidR="00FD7FF0">
        <w:t>iscal</w:t>
      </w:r>
      <w:r w:rsidR="00984675">
        <w:t xml:space="preserve">, Aid Management, </w:t>
      </w:r>
      <w:r w:rsidR="00AC5984">
        <w:t>Treasury and Admin and Finance</w:t>
      </w:r>
      <w:r w:rsidR="00FD7FF0">
        <w:t xml:space="preserve"> are also presented sepa</w:t>
      </w:r>
      <w:r w:rsidR="007034F9">
        <w:t>rately</w:t>
      </w:r>
      <w:r w:rsidR="00AC5984">
        <w:t xml:space="preserve"> (see</w:t>
      </w:r>
      <w:r w:rsidR="002345F3">
        <w:t xml:space="preserve"> </w:t>
      </w:r>
      <w:r w:rsidR="00984675">
        <w:fldChar w:fldCharType="begin"/>
      </w:r>
      <w:r w:rsidR="00984675">
        <w:instrText xml:space="preserve"> REF _Ref443218768 \n \h </w:instrText>
      </w:r>
      <w:r w:rsidR="00984675">
        <w:fldChar w:fldCharType="separate"/>
      </w:r>
      <w:r w:rsidR="00004C5E">
        <w:t>Figure 12</w:t>
      </w:r>
      <w:r w:rsidR="00984675">
        <w:fldChar w:fldCharType="end"/>
      </w:r>
      <w:r w:rsidR="00AC5984">
        <w:t xml:space="preserve"> </w:t>
      </w:r>
      <w:r w:rsidR="00D16705">
        <w:t>and</w:t>
      </w:r>
      <w:r w:rsidR="00AC5984">
        <w:t xml:space="preserve"> </w:t>
      </w:r>
      <w:r w:rsidR="00984675">
        <w:fldChar w:fldCharType="begin"/>
      </w:r>
      <w:r w:rsidR="00984675">
        <w:instrText xml:space="preserve"> REF _Ref443218774 \n \h </w:instrText>
      </w:r>
      <w:r w:rsidR="00984675">
        <w:fldChar w:fldCharType="separate"/>
      </w:r>
      <w:r w:rsidR="00004C5E">
        <w:t>Figure 14</w:t>
      </w:r>
      <w:r w:rsidR="00984675">
        <w:fldChar w:fldCharType="end"/>
      </w:r>
      <w:r w:rsidR="003C21FD">
        <w:t>)</w:t>
      </w:r>
      <w:r w:rsidR="00984675">
        <w:t xml:space="preserve">. </w:t>
      </w:r>
    </w:p>
    <w:p w14:paraId="259E2277" w14:textId="15ADE235" w:rsidR="006F11CD" w:rsidRDefault="006F11CD">
      <w:pPr>
        <w:spacing w:after="200" w:line="312" w:lineRule="auto"/>
        <w:rPr>
          <w:rFonts w:asciiTheme="minorHAnsi" w:hAnsiTheme="minorHAnsi" w:cstheme="minorBidi"/>
          <w:color w:val="5F5F5F" w:themeColor="text2" w:themeTint="BF"/>
          <w:sz w:val="22"/>
          <w:lang w:val="en-GB" w:eastAsia="ja-JP"/>
        </w:rPr>
      </w:pPr>
      <w:r>
        <w:br w:type="page"/>
      </w:r>
    </w:p>
    <w:p w14:paraId="19F9FB7A" w14:textId="3C5F382D" w:rsidR="006F1BCA" w:rsidRDefault="006F1BCA" w:rsidP="006F1BCA">
      <w:pPr>
        <w:pStyle w:val="FigureHeader"/>
      </w:pPr>
      <w:bookmarkStart w:id="53" w:name="_Ref443218766"/>
      <w:bookmarkStart w:id="54" w:name="_Toc457162658"/>
      <w:r>
        <w:lastRenderedPageBreak/>
        <w:t>R</w:t>
      </w:r>
      <w:r w:rsidR="00CD297D">
        <w:t>isk-</w:t>
      </w:r>
      <w:r>
        <w:t>Return (performance and TA) Space</w:t>
      </w:r>
      <w:bookmarkEnd w:id="53"/>
      <w:bookmarkEnd w:id="54"/>
    </w:p>
    <w:p w14:paraId="5171DA89" w14:textId="7CCC3EBA" w:rsidR="0003331B" w:rsidRPr="0003331B" w:rsidRDefault="0003331B" w:rsidP="0003331B">
      <w:pPr>
        <w:pBdr>
          <w:top w:val="single" w:sz="4" w:space="1" w:color="auto"/>
          <w:left w:val="single" w:sz="4" w:space="4" w:color="auto"/>
          <w:bottom w:val="single" w:sz="4" w:space="1" w:color="auto"/>
          <w:right w:val="single" w:sz="4" w:space="4" w:color="auto"/>
        </w:pBdr>
        <w:shd w:val="clear" w:color="auto" w:fill="E3F1E1" w:themeFill="accent4" w:themeFillTint="33"/>
        <w:rPr>
          <w:rFonts w:ascii="Calibri" w:hAnsi="Calibri"/>
          <w:b/>
        </w:rPr>
      </w:pPr>
      <w:r w:rsidRPr="0003331B">
        <w:rPr>
          <w:rFonts w:ascii="Calibri" w:hAnsi="Calibri"/>
          <w:b/>
        </w:rPr>
        <w:t xml:space="preserve">              </w:t>
      </w:r>
      <w:r>
        <w:rPr>
          <w:rFonts w:ascii="Calibri" w:hAnsi="Calibri"/>
          <w:b/>
        </w:rPr>
        <w:t xml:space="preserve">  </w:t>
      </w:r>
      <w:r w:rsidRPr="0003331B">
        <w:rPr>
          <w:rFonts w:ascii="Calibri" w:hAnsi="Calibri"/>
          <w:b/>
        </w:rPr>
        <w:t xml:space="preserve">Raw Risk and Raw Impact                     </w:t>
      </w:r>
      <w:r>
        <w:rPr>
          <w:rFonts w:ascii="Calibri" w:hAnsi="Calibri"/>
          <w:b/>
        </w:rPr>
        <w:t xml:space="preserve">   </w:t>
      </w:r>
      <w:r w:rsidRPr="0003331B">
        <w:rPr>
          <w:rFonts w:ascii="Calibri" w:hAnsi="Calibri"/>
          <w:b/>
        </w:rPr>
        <w:t xml:space="preserve"> Relative Risk and Relative Impact</w:t>
      </w:r>
    </w:p>
    <w:p w14:paraId="68F13D5A" w14:textId="0B88121C" w:rsidR="0047359A" w:rsidRDefault="00800591" w:rsidP="00980F71">
      <w:pPr>
        <w:pBdr>
          <w:top w:val="single" w:sz="4" w:space="1" w:color="auto"/>
          <w:left w:val="single" w:sz="4" w:space="4" w:color="auto"/>
          <w:bottom w:val="single" w:sz="4" w:space="1" w:color="auto"/>
          <w:right w:val="single" w:sz="4" w:space="4" w:color="auto"/>
        </w:pBdr>
        <w:shd w:val="clear" w:color="auto" w:fill="E3F1E1" w:themeFill="accent4" w:themeFillTint="33"/>
        <w:jc w:val="center"/>
      </w:pPr>
      <w:r w:rsidRPr="00800591">
        <w:rPr>
          <w:noProof/>
        </w:rPr>
        <w:drawing>
          <wp:inline distT="0" distB="0" distL="0" distR="0" wp14:anchorId="4D4E231A" wp14:editId="08A49E09">
            <wp:extent cx="2772000" cy="3726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r w:rsidRPr="00800591">
        <w:rPr>
          <w:noProof/>
        </w:rPr>
        <w:drawing>
          <wp:inline distT="0" distB="0" distL="0" distR="0" wp14:anchorId="7B65F2A4" wp14:editId="28B99ABD">
            <wp:extent cx="2772000" cy="3726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p>
    <w:p w14:paraId="389FAEF4" w14:textId="35AC4425" w:rsidR="00D85E8D" w:rsidRDefault="00D85E8D" w:rsidP="00DE147D">
      <w:pPr>
        <w:pStyle w:val="TableHeader1"/>
      </w:pPr>
      <w:bookmarkStart w:id="55" w:name="_Toc457162638"/>
      <w:r>
        <w:t>Frequency of Risk Impact Dimensions</w:t>
      </w:r>
      <w:bookmarkEnd w:id="55"/>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828"/>
        <w:gridCol w:w="1181"/>
        <w:gridCol w:w="1106"/>
        <w:gridCol w:w="1397"/>
        <w:gridCol w:w="972"/>
        <w:gridCol w:w="1203"/>
        <w:gridCol w:w="1275"/>
      </w:tblGrid>
      <w:tr w:rsidR="00D85E8D" w:rsidRPr="00421DA4" w14:paraId="65490EED" w14:textId="77777777" w:rsidTr="00A4039E">
        <w:trPr>
          <w:trHeight w:val="945"/>
        </w:trPr>
        <w:tc>
          <w:tcPr>
            <w:tcW w:w="673" w:type="pct"/>
            <w:shd w:val="clear" w:color="auto" w:fill="ACD6A7" w:themeFill="accent4" w:themeFillTint="99"/>
            <w:vAlign w:val="center"/>
            <w:hideMark/>
          </w:tcPr>
          <w:p w14:paraId="6107A3A1" w14:textId="77777777" w:rsidR="00D85E8D" w:rsidRPr="00421DA4" w:rsidRDefault="00D85E8D" w:rsidP="00212D4C">
            <w:pPr>
              <w:outlineLvl w:val="1"/>
              <w:rPr>
                <w:rFonts w:ascii="Calibri" w:eastAsia="Times New Roman" w:hAnsi="Calibri"/>
                <w:color w:val="000000"/>
                <w:sz w:val="20"/>
                <w:lang w:val="en-GB" w:eastAsia="en-GB"/>
              </w:rPr>
            </w:pPr>
            <w:r w:rsidRPr="00421DA4">
              <w:rPr>
                <w:rFonts w:ascii="Calibri" w:eastAsia="Times New Roman" w:hAnsi="Calibri"/>
                <w:color w:val="000000"/>
                <w:sz w:val="20"/>
                <w:lang w:val="en-GB" w:eastAsia="en-GB"/>
              </w:rPr>
              <w:t> </w:t>
            </w:r>
          </w:p>
        </w:tc>
        <w:tc>
          <w:tcPr>
            <w:tcW w:w="450" w:type="pct"/>
            <w:shd w:val="clear" w:color="auto" w:fill="ACD6A7" w:themeFill="accent4" w:themeFillTint="99"/>
            <w:vAlign w:val="center"/>
            <w:hideMark/>
          </w:tcPr>
          <w:p w14:paraId="7D1D31EC" w14:textId="77777777" w:rsidR="00D85E8D" w:rsidRPr="00421DA4" w:rsidRDefault="00D85E8D" w:rsidP="00212D4C">
            <w:pPr>
              <w:jc w:val="center"/>
              <w:outlineLvl w:val="1"/>
              <w:rPr>
                <w:rFonts w:ascii="Calibri" w:eastAsia="Times New Roman" w:hAnsi="Calibri"/>
                <w:b/>
                <w:bCs/>
                <w:sz w:val="20"/>
                <w:lang w:val="en-GB" w:eastAsia="en-GB"/>
              </w:rPr>
            </w:pPr>
            <w:r w:rsidRPr="00421DA4">
              <w:rPr>
                <w:rFonts w:ascii="Calibri" w:eastAsia="Times New Roman" w:hAnsi="Calibri"/>
                <w:b/>
                <w:bCs/>
                <w:sz w:val="20"/>
                <w:lang w:val="en-GB" w:eastAsia="en-GB"/>
              </w:rPr>
              <w:t>Impact</w:t>
            </w:r>
          </w:p>
        </w:tc>
        <w:tc>
          <w:tcPr>
            <w:tcW w:w="642" w:type="pct"/>
            <w:shd w:val="clear" w:color="auto" w:fill="ACD6A7" w:themeFill="accent4" w:themeFillTint="99"/>
            <w:vAlign w:val="center"/>
            <w:hideMark/>
          </w:tcPr>
          <w:p w14:paraId="64113427" w14:textId="77777777" w:rsidR="00D85E8D" w:rsidRPr="00421DA4" w:rsidRDefault="00D85E8D" w:rsidP="00212D4C">
            <w:pPr>
              <w:jc w:val="center"/>
              <w:outlineLvl w:val="1"/>
              <w:rPr>
                <w:rFonts w:ascii="Calibri" w:eastAsia="Times New Roman" w:hAnsi="Calibri"/>
                <w:b/>
                <w:bCs/>
                <w:sz w:val="20"/>
                <w:lang w:val="en-GB" w:eastAsia="en-GB"/>
              </w:rPr>
            </w:pPr>
            <w:r w:rsidRPr="00421DA4">
              <w:rPr>
                <w:rFonts w:ascii="Calibri" w:eastAsia="Times New Roman" w:hAnsi="Calibri"/>
                <w:b/>
                <w:bCs/>
                <w:sz w:val="20"/>
                <w:lang w:val="en-GB" w:eastAsia="en-GB"/>
              </w:rPr>
              <w:t>Scope &amp; complexity of reform</w:t>
            </w:r>
          </w:p>
        </w:tc>
        <w:tc>
          <w:tcPr>
            <w:tcW w:w="601" w:type="pct"/>
            <w:shd w:val="clear" w:color="auto" w:fill="ACD6A7" w:themeFill="accent4" w:themeFillTint="99"/>
            <w:vAlign w:val="center"/>
            <w:hideMark/>
          </w:tcPr>
          <w:p w14:paraId="030A9B1B" w14:textId="77777777" w:rsidR="00D85E8D" w:rsidRPr="00421DA4" w:rsidRDefault="00D85E8D" w:rsidP="00212D4C">
            <w:pPr>
              <w:jc w:val="center"/>
              <w:outlineLvl w:val="1"/>
              <w:rPr>
                <w:rFonts w:ascii="Calibri" w:eastAsia="Times New Roman" w:hAnsi="Calibri"/>
                <w:b/>
                <w:bCs/>
                <w:sz w:val="20"/>
                <w:lang w:val="en-GB" w:eastAsia="en-GB"/>
              </w:rPr>
            </w:pPr>
            <w:r w:rsidRPr="00421DA4">
              <w:rPr>
                <w:rFonts w:ascii="Calibri" w:eastAsia="Times New Roman" w:hAnsi="Calibri"/>
                <w:b/>
                <w:bCs/>
                <w:sz w:val="20"/>
                <w:lang w:val="en-GB" w:eastAsia="en-GB"/>
              </w:rPr>
              <w:t>Degree of behaviour change</w:t>
            </w:r>
          </w:p>
        </w:tc>
        <w:tc>
          <w:tcPr>
            <w:tcW w:w="759" w:type="pct"/>
            <w:shd w:val="clear" w:color="auto" w:fill="ACD6A7" w:themeFill="accent4" w:themeFillTint="99"/>
            <w:vAlign w:val="center"/>
            <w:hideMark/>
          </w:tcPr>
          <w:p w14:paraId="48ED139B" w14:textId="77777777" w:rsidR="00D85E8D" w:rsidRPr="00421DA4" w:rsidRDefault="00D85E8D" w:rsidP="00212D4C">
            <w:pPr>
              <w:jc w:val="center"/>
              <w:outlineLvl w:val="1"/>
              <w:rPr>
                <w:rFonts w:ascii="Calibri" w:eastAsia="Times New Roman" w:hAnsi="Calibri"/>
                <w:b/>
                <w:bCs/>
                <w:sz w:val="20"/>
                <w:lang w:val="en-GB" w:eastAsia="en-GB"/>
              </w:rPr>
            </w:pPr>
            <w:r w:rsidRPr="00421DA4">
              <w:rPr>
                <w:rFonts w:ascii="Calibri" w:eastAsia="Times New Roman" w:hAnsi="Calibri"/>
                <w:b/>
                <w:bCs/>
                <w:sz w:val="20"/>
                <w:lang w:val="en-GB" w:eastAsia="en-GB"/>
              </w:rPr>
              <w:t>No. of  organisations</w:t>
            </w:r>
          </w:p>
        </w:tc>
        <w:tc>
          <w:tcPr>
            <w:tcW w:w="528" w:type="pct"/>
            <w:shd w:val="clear" w:color="auto" w:fill="ACD6A7" w:themeFill="accent4" w:themeFillTint="99"/>
            <w:vAlign w:val="center"/>
            <w:hideMark/>
          </w:tcPr>
          <w:p w14:paraId="4A15EF03" w14:textId="77777777" w:rsidR="00D85E8D" w:rsidRPr="00421DA4" w:rsidRDefault="00D85E8D" w:rsidP="00212D4C">
            <w:pPr>
              <w:jc w:val="center"/>
              <w:outlineLvl w:val="1"/>
              <w:rPr>
                <w:rFonts w:ascii="Calibri" w:eastAsia="Times New Roman" w:hAnsi="Calibri"/>
                <w:b/>
                <w:bCs/>
                <w:sz w:val="20"/>
                <w:lang w:val="en-GB" w:eastAsia="en-GB"/>
              </w:rPr>
            </w:pPr>
            <w:r w:rsidRPr="00421DA4">
              <w:rPr>
                <w:rFonts w:ascii="Calibri" w:eastAsia="Times New Roman" w:hAnsi="Calibri"/>
                <w:b/>
                <w:bCs/>
                <w:sz w:val="20"/>
                <w:lang w:val="en-GB" w:eastAsia="en-GB"/>
              </w:rPr>
              <w:t>Time required</w:t>
            </w:r>
          </w:p>
        </w:tc>
        <w:tc>
          <w:tcPr>
            <w:tcW w:w="654" w:type="pct"/>
            <w:shd w:val="clear" w:color="auto" w:fill="ACD6A7" w:themeFill="accent4" w:themeFillTint="99"/>
            <w:vAlign w:val="center"/>
            <w:hideMark/>
          </w:tcPr>
          <w:p w14:paraId="467F1E6E" w14:textId="77777777" w:rsidR="00D85E8D" w:rsidRPr="00421DA4" w:rsidRDefault="00D85E8D" w:rsidP="00212D4C">
            <w:pPr>
              <w:jc w:val="center"/>
              <w:outlineLvl w:val="1"/>
              <w:rPr>
                <w:rFonts w:ascii="Calibri" w:eastAsia="Times New Roman" w:hAnsi="Calibri"/>
                <w:b/>
                <w:bCs/>
                <w:sz w:val="20"/>
                <w:lang w:val="en-GB" w:eastAsia="en-GB"/>
              </w:rPr>
            </w:pPr>
            <w:r w:rsidRPr="00421DA4">
              <w:rPr>
                <w:rFonts w:ascii="Calibri" w:eastAsia="Times New Roman" w:hAnsi="Calibri"/>
                <w:b/>
                <w:bCs/>
                <w:sz w:val="20"/>
                <w:lang w:val="en-GB" w:eastAsia="en-GB"/>
              </w:rPr>
              <w:t>Visibility of reform impact</w:t>
            </w:r>
          </w:p>
        </w:tc>
        <w:tc>
          <w:tcPr>
            <w:tcW w:w="693" w:type="pct"/>
            <w:shd w:val="clear" w:color="auto" w:fill="ACD6A7" w:themeFill="accent4" w:themeFillTint="99"/>
            <w:vAlign w:val="center"/>
            <w:hideMark/>
          </w:tcPr>
          <w:p w14:paraId="15BF41B9" w14:textId="77777777" w:rsidR="00D85E8D" w:rsidRPr="00421DA4" w:rsidRDefault="00D85E8D" w:rsidP="00212D4C">
            <w:pPr>
              <w:jc w:val="center"/>
              <w:outlineLvl w:val="1"/>
              <w:rPr>
                <w:rFonts w:ascii="Calibri" w:eastAsia="Times New Roman" w:hAnsi="Calibri"/>
                <w:b/>
                <w:bCs/>
                <w:sz w:val="20"/>
                <w:lang w:val="en-GB" w:eastAsia="en-GB"/>
              </w:rPr>
            </w:pPr>
            <w:r w:rsidRPr="00421DA4">
              <w:rPr>
                <w:rFonts w:ascii="Calibri" w:eastAsia="Times New Roman" w:hAnsi="Calibri"/>
                <w:b/>
                <w:bCs/>
                <w:sz w:val="20"/>
                <w:lang w:val="en-GB" w:eastAsia="en-GB"/>
              </w:rPr>
              <w:t>PFM Competency</w:t>
            </w:r>
          </w:p>
        </w:tc>
      </w:tr>
      <w:tr w:rsidR="00A4039E" w:rsidRPr="00421DA4" w14:paraId="7D5407F9" w14:textId="77777777" w:rsidTr="00A4039E">
        <w:trPr>
          <w:trHeight w:val="315"/>
        </w:trPr>
        <w:tc>
          <w:tcPr>
            <w:tcW w:w="673" w:type="pct"/>
            <w:shd w:val="clear" w:color="auto" w:fill="auto"/>
            <w:noWrap/>
            <w:vAlign w:val="bottom"/>
            <w:hideMark/>
          </w:tcPr>
          <w:p w14:paraId="3ECE8732" w14:textId="77777777" w:rsidR="00A4039E" w:rsidRPr="00421DA4" w:rsidRDefault="00A4039E" w:rsidP="00A4039E">
            <w:pPr>
              <w:outlineLvl w:val="1"/>
              <w:rPr>
                <w:rFonts w:ascii="Calibri" w:eastAsia="Times New Roman" w:hAnsi="Calibri"/>
                <w:color w:val="000000"/>
                <w:sz w:val="20"/>
                <w:szCs w:val="22"/>
                <w:lang w:val="en-GB" w:eastAsia="en-GB"/>
              </w:rPr>
            </w:pPr>
            <w:r w:rsidRPr="00421DA4">
              <w:rPr>
                <w:rFonts w:ascii="Calibri" w:eastAsia="Times New Roman" w:hAnsi="Calibri"/>
                <w:color w:val="000000"/>
                <w:sz w:val="20"/>
                <w:szCs w:val="22"/>
                <w:lang w:val="en-GB" w:eastAsia="en-GB"/>
              </w:rPr>
              <w:t>Low</w:t>
            </w:r>
          </w:p>
        </w:tc>
        <w:tc>
          <w:tcPr>
            <w:tcW w:w="450" w:type="pct"/>
            <w:shd w:val="clear" w:color="auto" w:fill="auto"/>
            <w:hideMark/>
          </w:tcPr>
          <w:p w14:paraId="14254EA0" w14:textId="18F8323D"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23</w:t>
            </w:r>
          </w:p>
        </w:tc>
        <w:tc>
          <w:tcPr>
            <w:tcW w:w="642" w:type="pct"/>
            <w:shd w:val="clear" w:color="auto" w:fill="auto"/>
            <w:hideMark/>
          </w:tcPr>
          <w:p w14:paraId="76461235" w14:textId="597F1114"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49</w:t>
            </w:r>
          </w:p>
        </w:tc>
        <w:tc>
          <w:tcPr>
            <w:tcW w:w="601" w:type="pct"/>
            <w:shd w:val="clear" w:color="auto" w:fill="auto"/>
            <w:hideMark/>
          </w:tcPr>
          <w:p w14:paraId="79358365" w14:textId="0FD54EE7"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102</w:t>
            </w:r>
          </w:p>
        </w:tc>
        <w:tc>
          <w:tcPr>
            <w:tcW w:w="759" w:type="pct"/>
            <w:shd w:val="clear" w:color="auto" w:fill="auto"/>
            <w:hideMark/>
          </w:tcPr>
          <w:p w14:paraId="14FEBB8C" w14:textId="1DD28ED0"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26</w:t>
            </w:r>
          </w:p>
        </w:tc>
        <w:tc>
          <w:tcPr>
            <w:tcW w:w="528" w:type="pct"/>
            <w:shd w:val="clear" w:color="auto" w:fill="auto"/>
            <w:hideMark/>
          </w:tcPr>
          <w:p w14:paraId="0B6D9519" w14:textId="4D9E8287"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65</w:t>
            </w:r>
          </w:p>
        </w:tc>
        <w:tc>
          <w:tcPr>
            <w:tcW w:w="654" w:type="pct"/>
            <w:shd w:val="clear" w:color="auto" w:fill="auto"/>
            <w:hideMark/>
          </w:tcPr>
          <w:p w14:paraId="05FD8C25" w14:textId="53EC8D88"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80</w:t>
            </w:r>
          </w:p>
        </w:tc>
        <w:tc>
          <w:tcPr>
            <w:tcW w:w="693" w:type="pct"/>
            <w:shd w:val="clear" w:color="auto" w:fill="auto"/>
            <w:hideMark/>
          </w:tcPr>
          <w:p w14:paraId="6AF6136C" w14:textId="233C89DA"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102</w:t>
            </w:r>
          </w:p>
        </w:tc>
      </w:tr>
      <w:tr w:rsidR="00A4039E" w:rsidRPr="00421DA4" w14:paraId="7B69D9DE" w14:textId="77777777" w:rsidTr="00A4039E">
        <w:trPr>
          <w:trHeight w:val="315"/>
        </w:trPr>
        <w:tc>
          <w:tcPr>
            <w:tcW w:w="673" w:type="pct"/>
            <w:shd w:val="clear" w:color="auto" w:fill="auto"/>
            <w:noWrap/>
            <w:vAlign w:val="bottom"/>
            <w:hideMark/>
          </w:tcPr>
          <w:p w14:paraId="1BC2D179" w14:textId="77777777" w:rsidR="00A4039E" w:rsidRPr="00421DA4" w:rsidRDefault="00A4039E" w:rsidP="00A4039E">
            <w:pPr>
              <w:outlineLvl w:val="1"/>
              <w:rPr>
                <w:rFonts w:ascii="Calibri" w:eastAsia="Times New Roman" w:hAnsi="Calibri"/>
                <w:color w:val="000000"/>
                <w:sz w:val="20"/>
                <w:szCs w:val="22"/>
                <w:lang w:val="en-GB" w:eastAsia="en-GB"/>
              </w:rPr>
            </w:pPr>
            <w:r w:rsidRPr="00421DA4">
              <w:rPr>
                <w:rFonts w:ascii="Calibri" w:eastAsia="Times New Roman" w:hAnsi="Calibri"/>
                <w:color w:val="000000"/>
                <w:sz w:val="20"/>
                <w:szCs w:val="22"/>
                <w:lang w:val="en-GB" w:eastAsia="en-GB"/>
              </w:rPr>
              <w:t>Moderate</w:t>
            </w:r>
          </w:p>
        </w:tc>
        <w:tc>
          <w:tcPr>
            <w:tcW w:w="450" w:type="pct"/>
            <w:shd w:val="clear" w:color="auto" w:fill="auto"/>
            <w:hideMark/>
          </w:tcPr>
          <w:p w14:paraId="1BEAC5BB" w14:textId="4A1145D8"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90</w:t>
            </w:r>
          </w:p>
        </w:tc>
        <w:tc>
          <w:tcPr>
            <w:tcW w:w="642" w:type="pct"/>
            <w:shd w:val="clear" w:color="auto" w:fill="auto"/>
            <w:hideMark/>
          </w:tcPr>
          <w:p w14:paraId="18B0684F" w14:textId="14CBDC90"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208</w:t>
            </w:r>
          </w:p>
        </w:tc>
        <w:tc>
          <w:tcPr>
            <w:tcW w:w="601" w:type="pct"/>
            <w:shd w:val="clear" w:color="auto" w:fill="auto"/>
            <w:hideMark/>
          </w:tcPr>
          <w:p w14:paraId="429E5C37" w14:textId="06C71C82"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155</w:t>
            </w:r>
          </w:p>
        </w:tc>
        <w:tc>
          <w:tcPr>
            <w:tcW w:w="759" w:type="pct"/>
            <w:shd w:val="clear" w:color="auto" w:fill="auto"/>
            <w:hideMark/>
          </w:tcPr>
          <w:p w14:paraId="504488B0" w14:textId="70F890B8"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170</w:t>
            </w:r>
          </w:p>
        </w:tc>
        <w:tc>
          <w:tcPr>
            <w:tcW w:w="528" w:type="pct"/>
            <w:shd w:val="clear" w:color="auto" w:fill="auto"/>
            <w:hideMark/>
          </w:tcPr>
          <w:p w14:paraId="703CB88D" w14:textId="2029025F"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152</w:t>
            </w:r>
          </w:p>
        </w:tc>
        <w:tc>
          <w:tcPr>
            <w:tcW w:w="654" w:type="pct"/>
            <w:shd w:val="clear" w:color="auto" w:fill="auto"/>
            <w:hideMark/>
          </w:tcPr>
          <w:p w14:paraId="6480F9A6" w14:textId="7C8BCDC1"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151</w:t>
            </w:r>
          </w:p>
        </w:tc>
        <w:tc>
          <w:tcPr>
            <w:tcW w:w="693" w:type="pct"/>
            <w:shd w:val="clear" w:color="auto" w:fill="auto"/>
            <w:hideMark/>
          </w:tcPr>
          <w:p w14:paraId="42F63C08" w14:textId="24285561" w:rsidR="00A4039E" w:rsidRPr="00A4039E" w:rsidRDefault="00A4039E" w:rsidP="00A4039E">
            <w:pPr>
              <w:jc w:val="center"/>
              <w:outlineLvl w:val="1"/>
              <w:rPr>
                <w:rFonts w:ascii="Calibri" w:eastAsia="Times New Roman" w:hAnsi="Calibri"/>
                <w:bCs/>
                <w:color w:val="000000"/>
                <w:sz w:val="20"/>
                <w:szCs w:val="20"/>
                <w:lang w:val="en-GB" w:eastAsia="en-GB"/>
              </w:rPr>
            </w:pPr>
            <w:r w:rsidRPr="00A4039E">
              <w:rPr>
                <w:rFonts w:ascii="Calibri" w:hAnsi="Calibri"/>
                <w:sz w:val="20"/>
                <w:szCs w:val="20"/>
              </w:rPr>
              <w:t>299</w:t>
            </w:r>
          </w:p>
        </w:tc>
      </w:tr>
      <w:tr w:rsidR="00A4039E" w:rsidRPr="00421DA4" w14:paraId="032AA3E3" w14:textId="77777777" w:rsidTr="00A4039E">
        <w:trPr>
          <w:trHeight w:val="315"/>
        </w:trPr>
        <w:tc>
          <w:tcPr>
            <w:tcW w:w="673" w:type="pct"/>
            <w:shd w:val="clear" w:color="auto" w:fill="auto"/>
            <w:noWrap/>
            <w:vAlign w:val="bottom"/>
            <w:hideMark/>
          </w:tcPr>
          <w:p w14:paraId="26D8071F" w14:textId="77777777" w:rsidR="00A4039E" w:rsidRPr="00421DA4" w:rsidRDefault="00A4039E" w:rsidP="00A4039E">
            <w:pPr>
              <w:outlineLvl w:val="0"/>
              <w:rPr>
                <w:rFonts w:ascii="Calibri" w:eastAsia="Times New Roman" w:hAnsi="Calibri"/>
                <w:color w:val="000000"/>
                <w:sz w:val="20"/>
                <w:szCs w:val="22"/>
                <w:lang w:val="en-GB" w:eastAsia="en-GB"/>
              </w:rPr>
            </w:pPr>
            <w:r w:rsidRPr="00421DA4">
              <w:rPr>
                <w:rFonts w:ascii="Calibri" w:eastAsia="Times New Roman" w:hAnsi="Calibri"/>
                <w:color w:val="000000"/>
                <w:sz w:val="20"/>
                <w:szCs w:val="22"/>
                <w:lang w:val="en-GB" w:eastAsia="en-GB"/>
              </w:rPr>
              <w:t>Substantial</w:t>
            </w:r>
          </w:p>
        </w:tc>
        <w:tc>
          <w:tcPr>
            <w:tcW w:w="450" w:type="pct"/>
            <w:shd w:val="clear" w:color="auto" w:fill="auto"/>
            <w:hideMark/>
          </w:tcPr>
          <w:p w14:paraId="4895F246" w14:textId="19AAAA3E" w:rsidR="00A4039E" w:rsidRPr="00A4039E" w:rsidRDefault="00A4039E" w:rsidP="00A4039E">
            <w:pPr>
              <w:jc w:val="center"/>
              <w:outlineLvl w:val="0"/>
              <w:rPr>
                <w:rFonts w:ascii="Calibri" w:eastAsia="Times New Roman" w:hAnsi="Calibri"/>
                <w:bCs/>
                <w:color w:val="000000"/>
                <w:sz w:val="20"/>
                <w:szCs w:val="20"/>
                <w:lang w:val="en-GB" w:eastAsia="en-GB"/>
              </w:rPr>
            </w:pPr>
            <w:r w:rsidRPr="00A4039E">
              <w:rPr>
                <w:rFonts w:ascii="Calibri" w:hAnsi="Calibri"/>
                <w:sz w:val="20"/>
                <w:szCs w:val="20"/>
              </w:rPr>
              <w:t>180</w:t>
            </w:r>
          </w:p>
        </w:tc>
        <w:tc>
          <w:tcPr>
            <w:tcW w:w="642" w:type="pct"/>
            <w:shd w:val="clear" w:color="auto" w:fill="auto"/>
            <w:hideMark/>
          </w:tcPr>
          <w:p w14:paraId="3B7C423E" w14:textId="348157AE" w:rsidR="00A4039E" w:rsidRPr="00A4039E" w:rsidRDefault="00A4039E" w:rsidP="00A4039E">
            <w:pPr>
              <w:jc w:val="center"/>
              <w:outlineLvl w:val="0"/>
              <w:rPr>
                <w:rFonts w:ascii="Calibri" w:eastAsia="Times New Roman" w:hAnsi="Calibri"/>
                <w:bCs/>
                <w:color w:val="000000"/>
                <w:sz w:val="20"/>
                <w:szCs w:val="20"/>
                <w:lang w:val="en-GB" w:eastAsia="en-GB"/>
              </w:rPr>
            </w:pPr>
            <w:r w:rsidRPr="00A4039E">
              <w:rPr>
                <w:rFonts w:ascii="Calibri" w:hAnsi="Calibri"/>
                <w:sz w:val="20"/>
                <w:szCs w:val="20"/>
              </w:rPr>
              <w:t>99</w:t>
            </w:r>
          </w:p>
        </w:tc>
        <w:tc>
          <w:tcPr>
            <w:tcW w:w="601" w:type="pct"/>
            <w:shd w:val="clear" w:color="auto" w:fill="auto"/>
            <w:hideMark/>
          </w:tcPr>
          <w:p w14:paraId="2906240F" w14:textId="5BB0F45B" w:rsidR="00A4039E" w:rsidRPr="00A4039E" w:rsidRDefault="00A4039E" w:rsidP="00A4039E">
            <w:pPr>
              <w:jc w:val="center"/>
              <w:outlineLvl w:val="0"/>
              <w:rPr>
                <w:rFonts w:ascii="Calibri" w:eastAsia="Times New Roman" w:hAnsi="Calibri"/>
                <w:bCs/>
                <w:color w:val="000000"/>
                <w:sz w:val="20"/>
                <w:szCs w:val="20"/>
                <w:lang w:val="en-GB" w:eastAsia="en-GB"/>
              </w:rPr>
            </w:pPr>
            <w:r w:rsidRPr="00A4039E">
              <w:rPr>
                <w:rFonts w:ascii="Calibri" w:hAnsi="Calibri"/>
                <w:sz w:val="20"/>
                <w:szCs w:val="20"/>
              </w:rPr>
              <w:t>95</w:t>
            </w:r>
          </w:p>
        </w:tc>
        <w:tc>
          <w:tcPr>
            <w:tcW w:w="759" w:type="pct"/>
            <w:shd w:val="clear" w:color="auto" w:fill="auto"/>
            <w:hideMark/>
          </w:tcPr>
          <w:p w14:paraId="6BA21DA0" w14:textId="11553D34" w:rsidR="00A4039E" w:rsidRPr="00A4039E" w:rsidRDefault="00A4039E" w:rsidP="00A4039E">
            <w:pPr>
              <w:jc w:val="center"/>
              <w:outlineLvl w:val="0"/>
              <w:rPr>
                <w:rFonts w:ascii="Calibri" w:eastAsia="Times New Roman" w:hAnsi="Calibri"/>
                <w:bCs/>
                <w:color w:val="000000"/>
                <w:sz w:val="20"/>
                <w:szCs w:val="20"/>
                <w:lang w:val="en-GB" w:eastAsia="en-GB"/>
              </w:rPr>
            </w:pPr>
            <w:r w:rsidRPr="00A4039E">
              <w:rPr>
                <w:rFonts w:ascii="Calibri" w:hAnsi="Calibri"/>
                <w:sz w:val="20"/>
                <w:szCs w:val="20"/>
              </w:rPr>
              <w:t>157</w:t>
            </w:r>
          </w:p>
        </w:tc>
        <w:tc>
          <w:tcPr>
            <w:tcW w:w="528" w:type="pct"/>
            <w:shd w:val="clear" w:color="auto" w:fill="auto"/>
            <w:hideMark/>
          </w:tcPr>
          <w:p w14:paraId="45577C95" w14:textId="0933B2F4" w:rsidR="00A4039E" w:rsidRPr="00A4039E" w:rsidRDefault="00A4039E" w:rsidP="00A4039E">
            <w:pPr>
              <w:jc w:val="center"/>
              <w:outlineLvl w:val="0"/>
              <w:rPr>
                <w:rFonts w:ascii="Calibri" w:eastAsia="Times New Roman" w:hAnsi="Calibri"/>
                <w:bCs/>
                <w:color w:val="000000"/>
                <w:sz w:val="20"/>
                <w:szCs w:val="20"/>
                <w:lang w:val="en-GB" w:eastAsia="en-GB"/>
              </w:rPr>
            </w:pPr>
            <w:r w:rsidRPr="00A4039E">
              <w:rPr>
                <w:rFonts w:ascii="Calibri" w:hAnsi="Calibri"/>
                <w:sz w:val="20"/>
                <w:szCs w:val="20"/>
              </w:rPr>
              <w:t>76</w:t>
            </w:r>
          </w:p>
        </w:tc>
        <w:tc>
          <w:tcPr>
            <w:tcW w:w="654" w:type="pct"/>
            <w:shd w:val="clear" w:color="auto" w:fill="auto"/>
            <w:hideMark/>
          </w:tcPr>
          <w:p w14:paraId="48534AE7" w14:textId="7E9CA03B" w:rsidR="00A4039E" w:rsidRPr="00A4039E" w:rsidRDefault="00A4039E" w:rsidP="00A4039E">
            <w:pPr>
              <w:jc w:val="center"/>
              <w:outlineLvl w:val="0"/>
              <w:rPr>
                <w:rFonts w:ascii="Calibri" w:eastAsia="Times New Roman" w:hAnsi="Calibri"/>
                <w:bCs/>
                <w:color w:val="000000"/>
                <w:sz w:val="20"/>
                <w:szCs w:val="20"/>
                <w:lang w:val="en-GB" w:eastAsia="en-GB"/>
              </w:rPr>
            </w:pPr>
            <w:r w:rsidRPr="00A4039E">
              <w:rPr>
                <w:rFonts w:ascii="Calibri" w:hAnsi="Calibri"/>
                <w:sz w:val="20"/>
                <w:szCs w:val="20"/>
              </w:rPr>
              <w:t>93</w:t>
            </w:r>
          </w:p>
        </w:tc>
        <w:tc>
          <w:tcPr>
            <w:tcW w:w="693" w:type="pct"/>
            <w:shd w:val="clear" w:color="auto" w:fill="auto"/>
            <w:hideMark/>
          </w:tcPr>
          <w:p w14:paraId="3E6D538A" w14:textId="1982AC46" w:rsidR="00A4039E" w:rsidRPr="00A4039E" w:rsidRDefault="00A4039E" w:rsidP="00A4039E">
            <w:pPr>
              <w:jc w:val="center"/>
              <w:outlineLvl w:val="0"/>
              <w:rPr>
                <w:rFonts w:ascii="Calibri" w:eastAsia="Times New Roman" w:hAnsi="Calibri"/>
                <w:bCs/>
                <w:color w:val="000000"/>
                <w:sz w:val="20"/>
                <w:szCs w:val="20"/>
                <w:lang w:val="en-GB" w:eastAsia="en-GB"/>
              </w:rPr>
            </w:pPr>
            <w:r w:rsidRPr="00A4039E">
              <w:rPr>
                <w:rFonts w:ascii="Calibri" w:hAnsi="Calibri"/>
                <w:sz w:val="20"/>
                <w:szCs w:val="20"/>
              </w:rPr>
              <w:t>106</w:t>
            </w:r>
          </w:p>
        </w:tc>
      </w:tr>
      <w:tr w:rsidR="00A4039E" w:rsidRPr="00421DA4" w14:paraId="69831838" w14:textId="77777777" w:rsidTr="00A4039E">
        <w:trPr>
          <w:trHeight w:val="315"/>
        </w:trPr>
        <w:tc>
          <w:tcPr>
            <w:tcW w:w="673" w:type="pct"/>
            <w:shd w:val="clear" w:color="auto" w:fill="auto"/>
            <w:noWrap/>
            <w:vAlign w:val="bottom"/>
            <w:hideMark/>
          </w:tcPr>
          <w:p w14:paraId="15DDEB46" w14:textId="77777777" w:rsidR="00A4039E" w:rsidRPr="00421DA4" w:rsidRDefault="00A4039E" w:rsidP="00A4039E">
            <w:pPr>
              <w:rPr>
                <w:rFonts w:ascii="Calibri" w:eastAsia="Times New Roman" w:hAnsi="Calibri"/>
                <w:color w:val="000000"/>
                <w:sz w:val="20"/>
                <w:szCs w:val="22"/>
                <w:lang w:val="en-GB" w:eastAsia="en-GB"/>
              </w:rPr>
            </w:pPr>
            <w:r w:rsidRPr="00421DA4">
              <w:rPr>
                <w:rFonts w:ascii="Calibri" w:eastAsia="Times New Roman" w:hAnsi="Calibri"/>
                <w:color w:val="000000"/>
                <w:sz w:val="20"/>
                <w:szCs w:val="22"/>
                <w:lang w:val="en-GB" w:eastAsia="en-GB"/>
              </w:rPr>
              <w:t>High</w:t>
            </w:r>
          </w:p>
        </w:tc>
        <w:tc>
          <w:tcPr>
            <w:tcW w:w="450" w:type="pct"/>
            <w:shd w:val="clear" w:color="auto" w:fill="auto"/>
            <w:hideMark/>
          </w:tcPr>
          <w:p w14:paraId="7D978B8F" w14:textId="3B2E10FA" w:rsidR="00A4039E" w:rsidRPr="00A4039E" w:rsidRDefault="00A4039E" w:rsidP="00A4039E">
            <w:pPr>
              <w:jc w:val="center"/>
              <w:rPr>
                <w:rFonts w:ascii="Calibri" w:eastAsia="Times New Roman" w:hAnsi="Calibri"/>
                <w:bCs/>
                <w:color w:val="000000"/>
                <w:sz w:val="20"/>
                <w:szCs w:val="20"/>
                <w:lang w:val="en-GB" w:eastAsia="en-GB"/>
              </w:rPr>
            </w:pPr>
            <w:r w:rsidRPr="00A4039E">
              <w:rPr>
                <w:rFonts w:ascii="Calibri" w:hAnsi="Calibri"/>
                <w:sz w:val="20"/>
                <w:szCs w:val="20"/>
              </w:rPr>
              <w:t>334</w:t>
            </w:r>
          </w:p>
        </w:tc>
        <w:tc>
          <w:tcPr>
            <w:tcW w:w="642" w:type="pct"/>
            <w:shd w:val="clear" w:color="auto" w:fill="auto"/>
            <w:hideMark/>
          </w:tcPr>
          <w:p w14:paraId="39D1E775" w14:textId="5AF4BFD6" w:rsidR="00A4039E" w:rsidRPr="00A4039E" w:rsidRDefault="00A4039E" w:rsidP="00A4039E">
            <w:pPr>
              <w:jc w:val="center"/>
              <w:rPr>
                <w:rFonts w:ascii="Calibri" w:eastAsia="Times New Roman" w:hAnsi="Calibri"/>
                <w:bCs/>
                <w:color w:val="000000"/>
                <w:sz w:val="20"/>
                <w:szCs w:val="20"/>
                <w:lang w:val="en-GB" w:eastAsia="en-GB"/>
              </w:rPr>
            </w:pPr>
            <w:r w:rsidRPr="00A4039E">
              <w:rPr>
                <w:rFonts w:ascii="Calibri" w:hAnsi="Calibri"/>
                <w:sz w:val="20"/>
                <w:szCs w:val="20"/>
              </w:rPr>
              <w:t>271</w:t>
            </w:r>
          </w:p>
        </w:tc>
        <w:tc>
          <w:tcPr>
            <w:tcW w:w="601" w:type="pct"/>
            <w:shd w:val="clear" w:color="auto" w:fill="auto"/>
            <w:hideMark/>
          </w:tcPr>
          <w:p w14:paraId="44A94CBE" w14:textId="42D0ECCD" w:rsidR="00A4039E" w:rsidRPr="00A4039E" w:rsidRDefault="00A4039E" w:rsidP="00A4039E">
            <w:pPr>
              <w:jc w:val="center"/>
              <w:rPr>
                <w:rFonts w:ascii="Calibri" w:eastAsia="Times New Roman" w:hAnsi="Calibri"/>
                <w:bCs/>
                <w:color w:val="000000"/>
                <w:sz w:val="20"/>
                <w:szCs w:val="20"/>
                <w:lang w:val="en-GB" w:eastAsia="en-GB"/>
              </w:rPr>
            </w:pPr>
            <w:r w:rsidRPr="00A4039E">
              <w:rPr>
                <w:rFonts w:ascii="Calibri" w:hAnsi="Calibri"/>
                <w:sz w:val="20"/>
                <w:szCs w:val="20"/>
              </w:rPr>
              <w:t>275</w:t>
            </w:r>
          </w:p>
        </w:tc>
        <w:tc>
          <w:tcPr>
            <w:tcW w:w="759" w:type="pct"/>
            <w:shd w:val="clear" w:color="auto" w:fill="auto"/>
            <w:hideMark/>
          </w:tcPr>
          <w:p w14:paraId="2DF1FBAD" w14:textId="372C43C6" w:rsidR="00A4039E" w:rsidRPr="00A4039E" w:rsidRDefault="00A4039E" w:rsidP="00A4039E">
            <w:pPr>
              <w:jc w:val="center"/>
              <w:rPr>
                <w:rFonts w:ascii="Calibri" w:eastAsia="Times New Roman" w:hAnsi="Calibri"/>
                <w:bCs/>
                <w:color w:val="000000"/>
                <w:sz w:val="20"/>
                <w:szCs w:val="20"/>
                <w:lang w:val="en-GB" w:eastAsia="en-GB"/>
              </w:rPr>
            </w:pPr>
            <w:r w:rsidRPr="00A4039E">
              <w:rPr>
                <w:rFonts w:ascii="Calibri" w:hAnsi="Calibri"/>
                <w:sz w:val="20"/>
                <w:szCs w:val="20"/>
              </w:rPr>
              <w:t>275</w:t>
            </w:r>
          </w:p>
        </w:tc>
        <w:tc>
          <w:tcPr>
            <w:tcW w:w="528" w:type="pct"/>
            <w:shd w:val="clear" w:color="auto" w:fill="auto"/>
            <w:hideMark/>
          </w:tcPr>
          <w:p w14:paraId="3750EFD8" w14:textId="443F1280" w:rsidR="00A4039E" w:rsidRPr="00A4039E" w:rsidRDefault="00A4039E" w:rsidP="00A4039E">
            <w:pPr>
              <w:jc w:val="center"/>
              <w:rPr>
                <w:rFonts w:ascii="Calibri" w:eastAsia="Times New Roman" w:hAnsi="Calibri"/>
                <w:bCs/>
                <w:color w:val="000000"/>
                <w:sz w:val="20"/>
                <w:szCs w:val="20"/>
                <w:lang w:val="en-GB" w:eastAsia="en-GB"/>
              </w:rPr>
            </w:pPr>
            <w:r w:rsidRPr="00A4039E">
              <w:rPr>
                <w:rFonts w:ascii="Calibri" w:hAnsi="Calibri"/>
                <w:sz w:val="20"/>
                <w:szCs w:val="20"/>
              </w:rPr>
              <w:t>334</w:t>
            </w:r>
          </w:p>
        </w:tc>
        <w:tc>
          <w:tcPr>
            <w:tcW w:w="654" w:type="pct"/>
            <w:shd w:val="clear" w:color="auto" w:fill="auto"/>
            <w:hideMark/>
          </w:tcPr>
          <w:p w14:paraId="370DFCB3" w14:textId="48CD7B85" w:rsidR="00A4039E" w:rsidRPr="00A4039E" w:rsidRDefault="00A4039E" w:rsidP="00A4039E">
            <w:pPr>
              <w:jc w:val="center"/>
              <w:rPr>
                <w:rFonts w:ascii="Calibri" w:eastAsia="Times New Roman" w:hAnsi="Calibri"/>
                <w:bCs/>
                <w:color w:val="000000"/>
                <w:sz w:val="20"/>
                <w:szCs w:val="20"/>
                <w:lang w:val="en-GB" w:eastAsia="en-GB"/>
              </w:rPr>
            </w:pPr>
            <w:r w:rsidRPr="00A4039E">
              <w:rPr>
                <w:rFonts w:ascii="Calibri" w:hAnsi="Calibri"/>
                <w:sz w:val="20"/>
                <w:szCs w:val="20"/>
              </w:rPr>
              <w:t>303</w:t>
            </w:r>
          </w:p>
        </w:tc>
        <w:tc>
          <w:tcPr>
            <w:tcW w:w="693" w:type="pct"/>
            <w:shd w:val="clear" w:color="auto" w:fill="auto"/>
            <w:hideMark/>
          </w:tcPr>
          <w:p w14:paraId="2EA42097" w14:textId="787C2C6C" w:rsidR="00A4039E" w:rsidRPr="00A4039E" w:rsidRDefault="00A4039E" w:rsidP="00A4039E">
            <w:pPr>
              <w:jc w:val="center"/>
              <w:rPr>
                <w:rFonts w:ascii="Calibri" w:eastAsia="Times New Roman" w:hAnsi="Calibri"/>
                <w:bCs/>
                <w:color w:val="000000"/>
                <w:sz w:val="20"/>
                <w:szCs w:val="20"/>
                <w:lang w:val="en-GB" w:eastAsia="en-GB"/>
              </w:rPr>
            </w:pPr>
            <w:r w:rsidRPr="00A4039E">
              <w:rPr>
                <w:rFonts w:ascii="Calibri" w:hAnsi="Calibri"/>
                <w:sz w:val="20"/>
                <w:szCs w:val="20"/>
              </w:rPr>
              <w:t>120</w:t>
            </w:r>
          </w:p>
        </w:tc>
      </w:tr>
      <w:tr w:rsidR="00A4039E" w:rsidRPr="00A4039E" w14:paraId="38CCB1E7" w14:textId="77777777" w:rsidTr="00A4039E">
        <w:trPr>
          <w:trHeight w:val="315"/>
        </w:trPr>
        <w:tc>
          <w:tcPr>
            <w:tcW w:w="673" w:type="pct"/>
            <w:shd w:val="clear" w:color="auto" w:fill="auto"/>
            <w:vAlign w:val="center"/>
            <w:hideMark/>
          </w:tcPr>
          <w:p w14:paraId="6545149A" w14:textId="77777777" w:rsidR="00A4039E" w:rsidRPr="00A4039E" w:rsidRDefault="00A4039E" w:rsidP="00A4039E">
            <w:pPr>
              <w:rPr>
                <w:rFonts w:ascii="Calibri" w:eastAsia="Times New Roman" w:hAnsi="Calibri"/>
                <w:b/>
                <w:bCs/>
                <w:color w:val="000000"/>
                <w:sz w:val="20"/>
                <w:lang w:val="en-GB" w:eastAsia="en-GB"/>
              </w:rPr>
            </w:pPr>
            <w:r w:rsidRPr="00A4039E">
              <w:rPr>
                <w:rFonts w:ascii="Calibri" w:eastAsia="Times New Roman" w:hAnsi="Calibri"/>
                <w:b/>
                <w:bCs/>
                <w:color w:val="000000"/>
                <w:sz w:val="20"/>
                <w:lang w:val="en-GB" w:eastAsia="en-GB"/>
              </w:rPr>
              <w:t>Total</w:t>
            </w:r>
          </w:p>
        </w:tc>
        <w:tc>
          <w:tcPr>
            <w:tcW w:w="450" w:type="pct"/>
            <w:shd w:val="clear" w:color="auto" w:fill="auto"/>
            <w:hideMark/>
          </w:tcPr>
          <w:p w14:paraId="2634463E" w14:textId="60595FB7" w:rsidR="00A4039E" w:rsidRPr="00A4039E" w:rsidRDefault="00A4039E" w:rsidP="00A4039E">
            <w:pPr>
              <w:jc w:val="center"/>
              <w:rPr>
                <w:rFonts w:ascii="Calibri" w:eastAsia="Times New Roman" w:hAnsi="Calibri"/>
                <w:b/>
                <w:bCs/>
                <w:color w:val="000000"/>
                <w:sz w:val="20"/>
                <w:szCs w:val="20"/>
                <w:lang w:val="en-GB" w:eastAsia="en-GB"/>
              </w:rPr>
            </w:pPr>
            <w:r w:rsidRPr="00A4039E">
              <w:rPr>
                <w:rFonts w:ascii="Calibri" w:hAnsi="Calibri"/>
                <w:b/>
                <w:sz w:val="20"/>
                <w:szCs w:val="20"/>
              </w:rPr>
              <w:t>627</w:t>
            </w:r>
          </w:p>
        </w:tc>
        <w:tc>
          <w:tcPr>
            <w:tcW w:w="642" w:type="pct"/>
            <w:shd w:val="clear" w:color="auto" w:fill="auto"/>
            <w:hideMark/>
          </w:tcPr>
          <w:p w14:paraId="3E777A63" w14:textId="753C42A8" w:rsidR="00A4039E" w:rsidRPr="00A4039E" w:rsidRDefault="00A4039E" w:rsidP="00A4039E">
            <w:pPr>
              <w:jc w:val="center"/>
              <w:rPr>
                <w:rFonts w:ascii="Calibri" w:eastAsia="Times New Roman" w:hAnsi="Calibri"/>
                <w:b/>
                <w:bCs/>
                <w:color w:val="000000"/>
                <w:sz w:val="20"/>
                <w:szCs w:val="20"/>
                <w:lang w:val="en-GB" w:eastAsia="en-GB"/>
              </w:rPr>
            </w:pPr>
            <w:r w:rsidRPr="00A4039E">
              <w:rPr>
                <w:rFonts w:ascii="Calibri" w:hAnsi="Calibri"/>
                <w:b/>
                <w:sz w:val="20"/>
                <w:szCs w:val="20"/>
              </w:rPr>
              <w:t>627</w:t>
            </w:r>
          </w:p>
        </w:tc>
        <w:tc>
          <w:tcPr>
            <w:tcW w:w="601" w:type="pct"/>
            <w:shd w:val="clear" w:color="auto" w:fill="auto"/>
            <w:hideMark/>
          </w:tcPr>
          <w:p w14:paraId="089EF4D8" w14:textId="689AE6C1" w:rsidR="00A4039E" w:rsidRPr="00A4039E" w:rsidRDefault="00A4039E" w:rsidP="00A4039E">
            <w:pPr>
              <w:jc w:val="center"/>
              <w:rPr>
                <w:rFonts w:ascii="Calibri" w:eastAsia="Times New Roman" w:hAnsi="Calibri"/>
                <w:b/>
                <w:bCs/>
                <w:color w:val="000000"/>
                <w:sz w:val="20"/>
                <w:szCs w:val="20"/>
                <w:lang w:val="en-GB" w:eastAsia="en-GB"/>
              </w:rPr>
            </w:pPr>
            <w:r w:rsidRPr="00A4039E">
              <w:rPr>
                <w:rFonts w:ascii="Calibri" w:hAnsi="Calibri"/>
                <w:b/>
                <w:sz w:val="20"/>
                <w:szCs w:val="20"/>
              </w:rPr>
              <w:t>627</w:t>
            </w:r>
          </w:p>
        </w:tc>
        <w:tc>
          <w:tcPr>
            <w:tcW w:w="759" w:type="pct"/>
            <w:shd w:val="clear" w:color="auto" w:fill="auto"/>
            <w:hideMark/>
          </w:tcPr>
          <w:p w14:paraId="5523C3E1" w14:textId="45251C82" w:rsidR="00A4039E" w:rsidRPr="00A4039E" w:rsidRDefault="00A4039E" w:rsidP="00A4039E">
            <w:pPr>
              <w:jc w:val="center"/>
              <w:rPr>
                <w:rFonts w:ascii="Calibri" w:eastAsia="Times New Roman" w:hAnsi="Calibri"/>
                <w:b/>
                <w:bCs/>
                <w:color w:val="000000"/>
                <w:sz w:val="20"/>
                <w:szCs w:val="20"/>
                <w:lang w:val="en-GB" w:eastAsia="en-GB"/>
              </w:rPr>
            </w:pPr>
            <w:r w:rsidRPr="00A4039E">
              <w:rPr>
                <w:rFonts w:ascii="Calibri" w:hAnsi="Calibri"/>
                <w:b/>
                <w:sz w:val="20"/>
                <w:szCs w:val="20"/>
              </w:rPr>
              <w:t>628</w:t>
            </w:r>
          </w:p>
        </w:tc>
        <w:tc>
          <w:tcPr>
            <w:tcW w:w="528" w:type="pct"/>
            <w:shd w:val="clear" w:color="auto" w:fill="auto"/>
            <w:hideMark/>
          </w:tcPr>
          <w:p w14:paraId="581E7E88" w14:textId="58438370" w:rsidR="00A4039E" w:rsidRPr="00A4039E" w:rsidRDefault="00A4039E" w:rsidP="00A4039E">
            <w:pPr>
              <w:jc w:val="center"/>
              <w:rPr>
                <w:rFonts w:ascii="Calibri" w:eastAsia="Times New Roman" w:hAnsi="Calibri"/>
                <w:b/>
                <w:bCs/>
                <w:color w:val="000000"/>
                <w:sz w:val="20"/>
                <w:szCs w:val="20"/>
                <w:lang w:val="en-GB" w:eastAsia="en-GB"/>
              </w:rPr>
            </w:pPr>
            <w:r w:rsidRPr="00A4039E">
              <w:rPr>
                <w:rFonts w:ascii="Calibri" w:hAnsi="Calibri"/>
                <w:b/>
                <w:sz w:val="20"/>
                <w:szCs w:val="20"/>
              </w:rPr>
              <w:t>627</w:t>
            </w:r>
          </w:p>
        </w:tc>
        <w:tc>
          <w:tcPr>
            <w:tcW w:w="654" w:type="pct"/>
            <w:shd w:val="clear" w:color="auto" w:fill="auto"/>
            <w:hideMark/>
          </w:tcPr>
          <w:p w14:paraId="24E9018C" w14:textId="3FCBBDA2" w:rsidR="00A4039E" w:rsidRPr="00A4039E" w:rsidRDefault="00A4039E" w:rsidP="00A4039E">
            <w:pPr>
              <w:jc w:val="center"/>
              <w:rPr>
                <w:rFonts w:ascii="Calibri" w:eastAsia="Times New Roman" w:hAnsi="Calibri"/>
                <w:b/>
                <w:bCs/>
                <w:color w:val="000000"/>
                <w:sz w:val="20"/>
                <w:szCs w:val="20"/>
                <w:lang w:val="en-GB" w:eastAsia="en-GB"/>
              </w:rPr>
            </w:pPr>
            <w:r w:rsidRPr="00A4039E">
              <w:rPr>
                <w:rFonts w:ascii="Calibri" w:hAnsi="Calibri"/>
                <w:b/>
                <w:sz w:val="20"/>
                <w:szCs w:val="20"/>
              </w:rPr>
              <w:t>627</w:t>
            </w:r>
          </w:p>
        </w:tc>
        <w:tc>
          <w:tcPr>
            <w:tcW w:w="693" w:type="pct"/>
            <w:shd w:val="clear" w:color="auto" w:fill="auto"/>
            <w:hideMark/>
          </w:tcPr>
          <w:p w14:paraId="19ED1F0B" w14:textId="7EFE3BCE" w:rsidR="00A4039E" w:rsidRPr="00A4039E" w:rsidRDefault="00A4039E" w:rsidP="00A4039E">
            <w:pPr>
              <w:jc w:val="center"/>
              <w:rPr>
                <w:rFonts w:ascii="Calibri" w:eastAsia="Times New Roman" w:hAnsi="Calibri"/>
                <w:b/>
                <w:bCs/>
                <w:color w:val="000000"/>
                <w:sz w:val="20"/>
                <w:szCs w:val="20"/>
                <w:lang w:val="en-GB" w:eastAsia="en-GB"/>
              </w:rPr>
            </w:pPr>
            <w:r w:rsidRPr="00A4039E">
              <w:rPr>
                <w:rFonts w:ascii="Calibri" w:hAnsi="Calibri"/>
                <w:b/>
                <w:sz w:val="20"/>
                <w:szCs w:val="20"/>
              </w:rPr>
              <w:t>627</w:t>
            </w:r>
          </w:p>
        </w:tc>
      </w:tr>
      <w:tr w:rsidR="00C62E6A" w:rsidRPr="00C62E6A" w14:paraId="6BCE6514" w14:textId="77777777" w:rsidTr="00576A95">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E3F1E1" w:themeFill="accent4" w:themeFillTint="33"/>
            <w:vAlign w:val="center"/>
          </w:tcPr>
          <w:p w14:paraId="51B36FA1" w14:textId="473BFE23" w:rsidR="00C62E6A" w:rsidRPr="00C62E6A" w:rsidRDefault="00C62E6A" w:rsidP="00C62E6A">
            <w:pPr>
              <w:jc w:val="center"/>
              <w:rPr>
                <w:rFonts w:ascii="Calibri" w:eastAsia="Times New Roman" w:hAnsi="Calibri"/>
                <w:b/>
                <w:bCs/>
                <w:color w:val="000000"/>
                <w:sz w:val="20"/>
                <w:lang w:val="en-GB" w:eastAsia="en-GB"/>
              </w:rPr>
            </w:pPr>
            <w:r>
              <w:rPr>
                <w:rFonts w:ascii="Calibri" w:eastAsia="Times New Roman" w:hAnsi="Calibri"/>
                <w:b/>
                <w:bCs/>
                <w:color w:val="000000"/>
                <w:sz w:val="20"/>
                <w:lang w:val="en-GB" w:eastAsia="en-GB"/>
              </w:rPr>
              <w:t>Shares</w:t>
            </w:r>
          </w:p>
        </w:tc>
      </w:tr>
      <w:tr w:rsidR="00A4039E" w:rsidRPr="00C62E6A" w14:paraId="33BE5E73" w14:textId="77777777" w:rsidTr="00E67775">
        <w:trPr>
          <w:trHeight w:val="315"/>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6FD08" w14:textId="77777777" w:rsidR="00A4039E" w:rsidRPr="00C62E6A" w:rsidRDefault="00A4039E" w:rsidP="00A4039E">
            <w:pPr>
              <w:rPr>
                <w:rFonts w:ascii="Calibri" w:eastAsia="Times New Roman" w:hAnsi="Calibri"/>
                <w:bCs/>
                <w:color w:val="000000"/>
                <w:sz w:val="20"/>
                <w:lang w:val="en-GB" w:eastAsia="en-GB"/>
              </w:rPr>
            </w:pPr>
            <w:r w:rsidRPr="00C62E6A">
              <w:rPr>
                <w:rFonts w:ascii="Calibri" w:eastAsia="Times New Roman" w:hAnsi="Calibri"/>
                <w:bCs/>
                <w:color w:val="000000"/>
                <w:sz w:val="20"/>
                <w:lang w:val="en-GB" w:eastAsia="en-GB"/>
              </w:rPr>
              <w:t>Low</w:t>
            </w:r>
          </w:p>
        </w:tc>
        <w:tc>
          <w:tcPr>
            <w:tcW w:w="450" w:type="pct"/>
            <w:tcBorders>
              <w:top w:val="single" w:sz="4" w:space="0" w:color="auto"/>
              <w:left w:val="single" w:sz="4" w:space="0" w:color="auto"/>
              <w:bottom w:val="single" w:sz="4" w:space="0" w:color="auto"/>
              <w:right w:val="single" w:sz="4" w:space="0" w:color="auto"/>
            </w:tcBorders>
            <w:shd w:val="clear" w:color="auto" w:fill="auto"/>
            <w:hideMark/>
          </w:tcPr>
          <w:p w14:paraId="2175DD05" w14:textId="343DD6BF" w:rsidR="00A4039E" w:rsidRPr="00A4039E" w:rsidRDefault="00A4039E" w:rsidP="00A4039E">
            <w:pPr>
              <w:jc w:val="center"/>
              <w:outlineLvl w:val="0"/>
              <w:rPr>
                <w:rFonts w:ascii="Calibri" w:hAnsi="Calibri"/>
                <w:sz w:val="20"/>
                <w:szCs w:val="20"/>
              </w:rPr>
            </w:pPr>
            <w:r w:rsidRPr="00A4039E">
              <w:rPr>
                <w:rFonts w:ascii="Calibri" w:hAnsi="Calibri"/>
                <w:sz w:val="20"/>
                <w:szCs w:val="20"/>
              </w:rPr>
              <w:t>4%</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41ACDCBC" w14:textId="7531CE8D" w:rsidR="00A4039E" w:rsidRPr="00A4039E" w:rsidRDefault="00A4039E" w:rsidP="00A4039E">
            <w:pPr>
              <w:jc w:val="center"/>
              <w:outlineLvl w:val="0"/>
              <w:rPr>
                <w:rFonts w:ascii="Calibri" w:hAnsi="Calibri"/>
                <w:sz w:val="20"/>
                <w:szCs w:val="20"/>
              </w:rPr>
            </w:pPr>
            <w:r w:rsidRPr="00A4039E">
              <w:rPr>
                <w:rFonts w:ascii="Calibri" w:hAnsi="Calibri"/>
                <w:sz w:val="20"/>
                <w:szCs w:val="20"/>
              </w:rPr>
              <w:t>8%</w:t>
            </w:r>
          </w:p>
        </w:tc>
        <w:tc>
          <w:tcPr>
            <w:tcW w:w="601" w:type="pct"/>
            <w:tcBorders>
              <w:top w:val="single" w:sz="4" w:space="0" w:color="auto"/>
              <w:left w:val="single" w:sz="4" w:space="0" w:color="auto"/>
              <w:bottom w:val="single" w:sz="4" w:space="0" w:color="auto"/>
              <w:right w:val="single" w:sz="4" w:space="0" w:color="auto"/>
            </w:tcBorders>
            <w:shd w:val="clear" w:color="auto" w:fill="auto"/>
            <w:hideMark/>
          </w:tcPr>
          <w:p w14:paraId="1F9D02EC" w14:textId="0254E574" w:rsidR="00A4039E" w:rsidRPr="00A4039E" w:rsidRDefault="00A4039E" w:rsidP="00A4039E">
            <w:pPr>
              <w:jc w:val="center"/>
              <w:outlineLvl w:val="0"/>
              <w:rPr>
                <w:rFonts w:ascii="Calibri" w:hAnsi="Calibri"/>
                <w:sz w:val="20"/>
                <w:szCs w:val="20"/>
              </w:rPr>
            </w:pPr>
            <w:r w:rsidRPr="00A4039E">
              <w:rPr>
                <w:rFonts w:ascii="Calibri" w:hAnsi="Calibri"/>
                <w:sz w:val="20"/>
                <w:szCs w:val="20"/>
              </w:rPr>
              <w:t>16%</w:t>
            </w:r>
          </w:p>
        </w:tc>
        <w:tc>
          <w:tcPr>
            <w:tcW w:w="759" w:type="pct"/>
            <w:tcBorders>
              <w:top w:val="single" w:sz="4" w:space="0" w:color="auto"/>
              <w:left w:val="single" w:sz="4" w:space="0" w:color="auto"/>
              <w:bottom w:val="single" w:sz="4" w:space="0" w:color="auto"/>
              <w:right w:val="single" w:sz="4" w:space="0" w:color="auto"/>
            </w:tcBorders>
            <w:shd w:val="clear" w:color="auto" w:fill="auto"/>
            <w:hideMark/>
          </w:tcPr>
          <w:p w14:paraId="6585DD6A" w14:textId="47761DC1" w:rsidR="00A4039E" w:rsidRPr="00A4039E" w:rsidRDefault="00A4039E" w:rsidP="00A4039E">
            <w:pPr>
              <w:jc w:val="center"/>
              <w:outlineLvl w:val="0"/>
              <w:rPr>
                <w:rFonts w:ascii="Calibri" w:hAnsi="Calibri"/>
                <w:sz w:val="20"/>
                <w:szCs w:val="20"/>
              </w:rPr>
            </w:pPr>
            <w:r w:rsidRPr="00A4039E">
              <w:rPr>
                <w:rFonts w:ascii="Calibri" w:hAnsi="Calibri"/>
                <w:sz w:val="20"/>
                <w:szCs w:val="20"/>
              </w:rPr>
              <w:t>4%</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5B8C28DD" w14:textId="21511AD4" w:rsidR="00A4039E" w:rsidRPr="00A4039E" w:rsidRDefault="00A4039E" w:rsidP="00A4039E">
            <w:pPr>
              <w:jc w:val="center"/>
              <w:outlineLvl w:val="0"/>
              <w:rPr>
                <w:rFonts w:ascii="Calibri" w:hAnsi="Calibri"/>
                <w:sz w:val="20"/>
                <w:szCs w:val="20"/>
              </w:rPr>
            </w:pPr>
            <w:r w:rsidRPr="00A4039E">
              <w:rPr>
                <w:rFonts w:ascii="Calibri" w:hAnsi="Calibri"/>
                <w:sz w:val="20"/>
                <w:szCs w:val="20"/>
              </w:rPr>
              <w:t>10%</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2B087BB4" w14:textId="05D0D49A" w:rsidR="00A4039E" w:rsidRPr="00A4039E" w:rsidRDefault="00A4039E" w:rsidP="00A4039E">
            <w:pPr>
              <w:jc w:val="center"/>
              <w:outlineLvl w:val="0"/>
              <w:rPr>
                <w:rFonts w:ascii="Calibri" w:hAnsi="Calibri"/>
                <w:sz w:val="20"/>
                <w:szCs w:val="20"/>
              </w:rPr>
            </w:pPr>
            <w:r w:rsidRPr="00A4039E">
              <w:rPr>
                <w:rFonts w:ascii="Calibri" w:hAnsi="Calibri"/>
                <w:sz w:val="20"/>
                <w:szCs w:val="20"/>
              </w:rPr>
              <w:t>13%</w:t>
            </w:r>
          </w:p>
        </w:tc>
        <w:tc>
          <w:tcPr>
            <w:tcW w:w="693" w:type="pct"/>
            <w:tcBorders>
              <w:top w:val="single" w:sz="4" w:space="0" w:color="auto"/>
              <w:left w:val="single" w:sz="4" w:space="0" w:color="auto"/>
              <w:bottom w:val="single" w:sz="4" w:space="0" w:color="auto"/>
              <w:right w:val="single" w:sz="4" w:space="0" w:color="auto"/>
            </w:tcBorders>
            <w:shd w:val="clear" w:color="auto" w:fill="auto"/>
            <w:hideMark/>
          </w:tcPr>
          <w:p w14:paraId="7F7E84EC" w14:textId="2E6BD391" w:rsidR="00A4039E" w:rsidRPr="00A4039E" w:rsidRDefault="00A4039E" w:rsidP="00A4039E">
            <w:pPr>
              <w:jc w:val="center"/>
              <w:outlineLvl w:val="0"/>
              <w:rPr>
                <w:rFonts w:ascii="Calibri" w:hAnsi="Calibri"/>
                <w:sz w:val="20"/>
                <w:szCs w:val="20"/>
              </w:rPr>
            </w:pPr>
            <w:r w:rsidRPr="00A4039E">
              <w:rPr>
                <w:rFonts w:ascii="Calibri" w:hAnsi="Calibri"/>
                <w:sz w:val="20"/>
                <w:szCs w:val="20"/>
              </w:rPr>
              <w:t>16%</w:t>
            </w:r>
          </w:p>
        </w:tc>
      </w:tr>
      <w:tr w:rsidR="00A4039E" w:rsidRPr="00C62E6A" w14:paraId="477AB904" w14:textId="77777777" w:rsidTr="00E67775">
        <w:trPr>
          <w:trHeight w:val="315"/>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A406A" w14:textId="77777777" w:rsidR="00A4039E" w:rsidRPr="00C62E6A" w:rsidRDefault="00A4039E" w:rsidP="00A4039E">
            <w:pPr>
              <w:rPr>
                <w:rFonts w:ascii="Calibri" w:eastAsia="Times New Roman" w:hAnsi="Calibri"/>
                <w:bCs/>
                <w:color w:val="000000"/>
                <w:sz w:val="20"/>
                <w:lang w:val="en-GB" w:eastAsia="en-GB"/>
              </w:rPr>
            </w:pPr>
            <w:r w:rsidRPr="00C62E6A">
              <w:rPr>
                <w:rFonts w:ascii="Calibri" w:eastAsia="Times New Roman" w:hAnsi="Calibri"/>
                <w:bCs/>
                <w:color w:val="000000"/>
                <w:sz w:val="20"/>
                <w:lang w:val="en-GB" w:eastAsia="en-GB"/>
              </w:rPr>
              <w:t>Moderate</w:t>
            </w:r>
          </w:p>
        </w:tc>
        <w:tc>
          <w:tcPr>
            <w:tcW w:w="450" w:type="pct"/>
            <w:tcBorders>
              <w:top w:val="single" w:sz="4" w:space="0" w:color="auto"/>
              <w:left w:val="single" w:sz="4" w:space="0" w:color="auto"/>
              <w:bottom w:val="single" w:sz="4" w:space="0" w:color="auto"/>
              <w:right w:val="single" w:sz="4" w:space="0" w:color="auto"/>
            </w:tcBorders>
            <w:shd w:val="clear" w:color="auto" w:fill="auto"/>
            <w:hideMark/>
          </w:tcPr>
          <w:p w14:paraId="3AC5E5CB" w14:textId="0F29F5E4" w:rsidR="00A4039E" w:rsidRPr="00A4039E" w:rsidRDefault="00A4039E" w:rsidP="00A4039E">
            <w:pPr>
              <w:jc w:val="center"/>
              <w:outlineLvl w:val="0"/>
              <w:rPr>
                <w:rFonts w:ascii="Calibri" w:hAnsi="Calibri"/>
                <w:sz w:val="20"/>
                <w:szCs w:val="20"/>
              </w:rPr>
            </w:pPr>
            <w:r w:rsidRPr="00A4039E">
              <w:rPr>
                <w:rFonts w:ascii="Calibri" w:hAnsi="Calibri"/>
                <w:sz w:val="20"/>
                <w:szCs w:val="20"/>
              </w:rPr>
              <w:t>14%</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550D7AEE" w14:textId="2043DE36" w:rsidR="00A4039E" w:rsidRPr="00A4039E" w:rsidRDefault="00A4039E" w:rsidP="00A4039E">
            <w:pPr>
              <w:jc w:val="center"/>
              <w:outlineLvl w:val="0"/>
              <w:rPr>
                <w:rFonts w:ascii="Calibri" w:hAnsi="Calibri"/>
                <w:sz w:val="20"/>
                <w:szCs w:val="20"/>
              </w:rPr>
            </w:pPr>
            <w:r w:rsidRPr="00A4039E">
              <w:rPr>
                <w:rFonts w:ascii="Calibri" w:hAnsi="Calibri"/>
                <w:sz w:val="20"/>
                <w:szCs w:val="20"/>
              </w:rPr>
              <w:t>33%</w:t>
            </w:r>
          </w:p>
        </w:tc>
        <w:tc>
          <w:tcPr>
            <w:tcW w:w="601" w:type="pct"/>
            <w:tcBorders>
              <w:top w:val="single" w:sz="4" w:space="0" w:color="auto"/>
              <w:left w:val="single" w:sz="4" w:space="0" w:color="auto"/>
              <w:bottom w:val="single" w:sz="4" w:space="0" w:color="auto"/>
              <w:right w:val="single" w:sz="4" w:space="0" w:color="auto"/>
            </w:tcBorders>
            <w:shd w:val="clear" w:color="auto" w:fill="auto"/>
            <w:hideMark/>
          </w:tcPr>
          <w:p w14:paraId="0131E2AB" w14:textId="1E5084F5" w:rsidR="00A4039E" w:rsidRPr="00A4039E" w:rsidRDefault="00A4039E" w:rsidP="00A4039E">
            <w:pPr>
              <w:jc w:val="center"/>
              <w:outlineLvl w:val="0"/>
              <w:rPr>
                <w:rFonts w:ascii="Calibri" w:hAnsi="Calibri"/>
                <w:sz w:val="20"/>
                <w:szCs w:val="20"/>
              </w:rPr>
            </w:pPr>
            <w:r w:rsidRPr="00A4039E">
              <w:rPr>
                <w:rFonts w:ascii="Calibri" w:hAnsi="Calibri"/>
                <w:sz w:val="20"/>
                <w:szCs w:val="20"/>
              </w:rPr>
              <w:t>25%</w:t>
            </w:r>
          </w:p>
        </w:tc>
        <w:tc>
          <w:tcPr>
            <w:tcW w:w="759" w:type="pct"/>
            <w:tcBorders>
              <w:top w:val="single" w:sz="4" w:space="0" w:color="auto"/>
              <w:left w:val="single" w:sz="4" w:space="0" w:color="auto"/>
              <w:bottom w:val="single" w:sz="4" w:space="0" w:color="auto"/>
              <w:right w:val="single" w:sz="4" w:space="0" w:color="auto"/>
            </w:tcBorders>
            <w:shd w:val="clear" w:color="auto" w:fill="auto"/>
            <w:hideMark/>
          </w:tcPr>
          <w:p w14:paraId="71D1644E" w14:textId="0D046027" w:rsidR="00A4039E" w:rsidRPr="00A4039E" w:rsidRDefault="00A4039E" w:rsidP="00A4039E">
            <w:pPr>
              <w:jc w:val="center"/>
              <w:outlineLvl w:val="0"/>
              <w:rPr>
                <w:rFonts w:ascii="Calibri" w:hAnsi="Calibri"/>
                <w:sz w:val="20"/>
                <w:szCs w:val="20"/>
              </w:rPr>
            </w:pPr>
            <w:r w:rsidRPr="00A4039E">
              <w:rPr>
                <w:rFonts w:ascii="Calibri" w:hAnsi="Calibri"/>
                <w:sz w:val="20"/>
                <w:szCs w:val="20"/>
              </w:rPr>
              <w:t>27%</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0901E84C" w14:textId="43DC35BC" w:rsidR="00A4039E" w:rsidRPr="00A4039E" w:rsidRDefault="00A4039E" w:rsidP="00A4039E">
            <w:pPr>
              <w:jc w:val="center"/>
              <w:outlineLvl w:val="0"/>
              <w:rPr>
                <w:rFonts w:ascii="Calibri" w:hAnsi="Calibri"/>
                <w:sz w:val="20"/>
                <w:szCs w:val="20"/>
              </w:rPr>
            </w:pPr>
            <w:r w:rsidRPr="00A4039E">
              <w:rPr>
                <w:rFonts w:ascii="Calibri" w:hAnsi="Calibri"/>
                <w:sz w:val="20"/>
                <w:szCs w:val="20"/>
              </w:rPr>
              <w:t>24%</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2939501A" w14:textId="77314C62" w:rsidR="00A4039E" w:rsidRPr="00A4039E" w:rsidRDefault="00A4039E" w:rsidP="00A4039E">
            <w:pPr>
              <w:jc w:val="center"/>
              <w:outlineLvl w:val="0"/>
              <w:rPr>
                <w:rFonts w:ascii="Calibri" w:hAnsi="Calibri"/>
                <w:sz w:val="20"/>
                <w:szCs w:val="20"/>
              </w:rPr>
            </w:pPr>
            <w:r w:rsidRPr="00A4039E">
              <w:rPr>
                <w:rFonts w:ascii="Calibri" w:hAnsi="Calibri"/>
                <w:sz w:val="20"/>
                <w:szCs w:val="20"/>
              </w:rPr>
              <w:t>24%</w:t>
            </w:r>
          </w:p>
        </w:tc>
        <w:tc>
          <w:tcPr>
            <w:tcW w:w="693" w:type="pct"/>
            <w:tcBorders>
              <w:top w:val="single" w:sz="4" w:space="0" w:color="auto"/>
              <w:left w:val="single" w:sz="4" w:space="0" w:color="auto"/>
              <w:bottom w:val="single" w:sz="4" w:space="0" w:color="auto"/>
              <w:right w:val="single" w:sz="4" w:space="0" w:color="auto"/>
            </w:tcBorders>
            <w:shd w:val="clear" w:color="auto" w:fill="auto"/>
            <w:hideMark/>
          </w:tcPr>
          <w:p w14:paraId="16C2BA88" w14:textId="3C530E9F" w:rsidR="00A4039E" w:rsidRPr="00A4039E" w:rsidRDefault="00A4039E" w:rsidP="00A4039E">
            <w:pPr>
              <w:jc w:val="center"/>
              <w:outlineLvl w:val="0"/>
              <w:rPr>
                <w:rFonts w:ascii="Calibri" w:hAnsi="Calibri"/>
                <w:sz w:val="20"/>
                <w:szCs w:val="20"/>
              </w:rPr>
            </w:pPr>
            <w:r w:rsidRPr="00A4039E">
              <w:rPr>
                <w:rFonts w:ascii="Calibri" w:hAnsi="Calibri"/>
                <w:sz w:val="20"/>
                <w:szCs w:val="20"/>
              </w:rPr>
              <w:t>48%</w:t>
            </w:r>
          </w:p>
        </w:tc>
      </w:tr>
      <w:tr w:rsidR="00A4039E" w:rsidRPr="00C62E6A" w14:paraId="751B0BD1" w14:textId="77777777" w:rsidTr="00E67775">
        <w:trPr>
          <w:trHeight w:val="315"/>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89E7A" w14:textId="77777777" w:rsidR="00A4039E" w:rsidRPr="00C62E6A" w:rsidRDefault="00A4039E" w:rsidP="00A4039E">
            <w:pPr>
              <w:rPr>
                <w:rFonts w:ascii="Calibri" w:eastAsia="Times New Roman" w:hAnsi="Calibri"/>
                <w:bCs/>
                <w:color w:val="000000"/>
                <w:sz w:val="20"/>
                <w:lang w:val="en-GB" w:eastAsia="en-GB"/>
              </w:rPr>
            </w:pPr>
            <w:r w:rsidRPr="00C62E6A">
              <w:rPr>
                <w:rFonts w:ascii="Calibri" w:eastAsia="Times New Roman" w:hAnsi="Calibri"/>
                <w:bCs/>
                <w:color w:val="000000"/>
                <w:sz w:val="20"/>
                <w:lang w:val="en-GB" w:eastAsia="en-GB"/>
              </w:rPr>
              <w:t>Substantial</w:t>
            </w:r>
          </w:p>
        </w:tc>
        <w:tc>
          <w:tcPr>
            <w:tcW w:w="450" w:type="pct"/>
            <w:tcBorders>
              <w:top w:val="single" w:sz="4" w:space="0" w:color="auto"/>
              <w:left w:val="single" w:sz="4" w:space="0" w:color="auto"/>
              <w:bottom w:val="single" w:sz="4" w:space="0" w:color="auto"/>
              <w:right w:val="single" w:sz="4" w:space="0" w:color="auto"/>
            </w:tcBorders>
            <w:shd w:val="clear" w:color="auto" w:fill="auto"/>
            <w:hideMark/>
          </w:tcPr>
          <w:p w14:paraId="2D8487DC" w14:textId="0968DFDB" w:rsidR="00A4039E" w:rsidRPr="00A4039E" w:rsidRDefault="00A4039E" w:rsidP="00A4039E">
            <w:pPr>
              <w:jc w:val="center"/>
              <w:outlineLvl w:val="0"/>
              <w:rPr>
                <w:rFonts w:ascii="Calibri" w:hAnsi="Calibri"/>
                <w:sz w:val="20"/>
                <w:szCs w:val="20"/>
              </w:rPr>
            </w:pPr>
            <w:r w:rsidRPr="00A4039E">
              <w:rPr>
                <w:rFonts w:ascii="Calibri" w:hAnsi="Calibri"/>
                <w:sz w:val="20"/>
                <w:szCs w:val="20"/>
              </w:rPr>
              <w:t>29%</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505CDF15" w14:textId="6B6F8889" w:rsidR="00A4039E" w:rsidRPr="00A4039E" w:rsidRDefault="00A4039E" w:rsidP="00A4039E">
            <w:pPr>
              <w:jc w:val="center"/>
              <w:outlineLvl w:val="0"/>
              <w:rPr>
                <w:rFonts w:ascii="Calibri" w:hAnsi="Calibri"/>
                <w:sz w:val="20"/>
                <w:szCs w:val="20"/>
              </w:rPr>
            </w:pPr>
            <w:r w:rsidRPr="00A4039E">
              <w:rPr>
                <w:rFonts w:ascii="Calibri" w:hAnsi="Calibri"/>
                <w:sz w:val="20"/>
                <w:szCs w:val="20"/>
              </w:rPr>
              <w:t>16%</w:t>
            </w:r>
          </w:p>
        </w:tc>
        <w:tc>
          <w:tcPr>
            <w:tcW w:w="601" w:type="pct"/>
            <w:tcBorders>
              <w:top w:val="single" w:sz="4" w:space="0" w:color="auto"/>
              <w:left w:val="single" w:sz="4" w:space="0" w:color="auto"/>
              <w:bottom w:val="single" w:sz="4" w:space="0" w:color="auto"/>
              <w:right w:val="single" w:sz="4" w:space="0" w:color="auto"/>
            </w:tcBorders>
            <w:shd w:val="clear" w:color="auto" w:fill="auto"/>
            <w:hideMark/>
          </w:tcPr>
          <w:p w14:paraId="15E71281" w14:textId="19F99A11" w:rsidR="00A4039E" w:rsidRPr="00A4039E" w:rsidRDefault="00A4039E" w:rsidP="00A4039E">
            <w:pPr>
              <w:jc w:val="center"/>
              <w:outlineLvl w:val="0"/>
              <w:rPr>
                <w:rFonts w:ascii="Calibri" w:hAnsi="Calibri"/>
                <w:sz w:val="20"/>
                <w:szCs w:val="20"/>
              </w:rPr>
            </w:pPr>
            <w:r w:rsidRPr="00A4039E">
              <w:rPr>
                <w:rFonts w:ascii="Calibri" w:hAnsi="Calibri"/>
                <w:sz w:val="20"/>
                <w:szCs w:val="20"/>
              </w:rPr>
              <w:t>15%</w:t>
            </w:r>
          </w:p>
        </w:tc>
        <w:tc>
          <w:tcPr>
            <w:tcW w:w="759" w:type="pct"/>
            <w:tcBorders>
              <w:top w:val="single" w:sz="4" w:space="0" w:color="auto"/>
              <w:left w:val="single" w:sz="4" w:space="0" w:color="auto"/>
              <w:bottom w:val="single" w:sz="4" w:space="0" w:color="auto"/>
              <w:right w:val="single" w:sz="4" w:space="0" w:color="auto"/>
            </w:tcBorders>
            <w:shd w:val="clear" w:color="auto" w:fill="auto"/>
            <w:hideMark/>
          </w:tcPr>
          <w:p w14:paraId="5CBDAB97" w14:textId="4695AFBE" w:rsidR="00A4039E" w:rsidRPr="00A4039E" w:rsidRDefault="00A4039E" w:rsidP="00A4039E">
            <w:pPr>
              <w:jc w:val="center"/>
              <w:outlineLvl w:val="0"/>
              <w:rPr>
                <w:rFonts w:ascii="Calibri" w:hAnsi="Calibri"/>
                <w:sz w:val="20"/>
                <w:szCs w:val="20"/>
              </w:rPr>
            </w:pPr>
            <w:r w:rsidRPr="00A4039E">
              <w:rPr>
                <w:rFonts w:ascii="Calibri" w:hAnsi="Calibri"/>
                <w:sz w:val="20"/>
                <w:szCs w:val="20"/>
              </w:rPr>
              <w:t>25%</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736C99B1" w14:textId="1A5DFDBA" w:rsidR="00A4039E" w:rsidRPr="00A4039E" w:rsidRDefault="00A4039E" w:rsidP="00A4039E">
            <w:pPr>
              <w:jc w:val="center"/>
              <w:outlineLvl w:val="0"/>
              <w:rPr>
                <w:rFonts w:ascii="Calibri" w:hAnsi="Calibri"/>
                <w:sz w:val="20"/>
                <w:szCs w:val="20"/>
              </w:rPr>
            </w:pPr>
            <w:r w:rsidRPr="00A4039E">
              <w:rPr>
                <w:rFonts w:ascii="Calibri" w:hAnsi="Calibri"/>
                <w:sz w:val="20"/>
                <w:szCs w:val="20"/>
              </w:rPr>
              <w:t>12%</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28511356" w14:textId="5AF315DB" w:rsidR="00A4039E" w:rsidRPr="00A4039E" w:rsidRDefault="00A4039E" w:rsidP="00A4039E">
            <w:pPr>
              <w:jc w:val="center"/>
              <w:outlineLvl w:val="0"/>
              <w:rPr>
                <w:rFonts w:ascii="Calibri" w:hAnsi="Calibri"/>
                <w:sz w:val="20"/>
                <w:szCs w:val="20"/>
              </w:rPr>
            </w:pPr>
            <w:r w:rsidRPr="00A4039E">
              <w:rPr>
                <w:rFonts w:ascii="Calibri" w:hAnsi="Calibri"/>
                <w:sz w:val="20"/>
                <w:szCs w:val="20"/>
              </w:rPr>
              <w:t>15%</w:t>
            </w:r>
          </w:p>
        </w:tc>
        <w:tc>
          <w:tcPr>
            <w:tcW w:w="693" w:type="pct"/>
            <w:tcBorders>
              <w:top w:val="single" w:sz="4" w:space="0" w:color="auto"/>
              <w:left w:val="single" w:sz="4" w:space="0" w:color="auto"/>
              <w:bottom w:val="single" w:sz="4" w:space="0" w:color="auto"/>
              <w:right w:val="single" w:sz="4" w:space="0" w:color="auto"/>
            </w:tcBorders>
            <w:shd w:val="clear" w:color="auto" w:fill="auto"/>
            <w:hideMark/>
          </w:tcPr>
          <w:p w14:paraId="495FA3C8" w14:textId="4DC4E777" w:rsidR="00A4039E" w:rsidRPr="00A4039E" w:rsidRDefault="00A4039E" w:rsidP="00A4039E">
            <w:pPr>
              <w:jc w:val="center"/>
              <w:outlineLvl w:val="0"/>
              <w:rPr>
                <w:rFonts w:ascii="Calibri" w:hAnsi="Calibri"/>
                <w:sz w:val="20"/>
                <w:szCs w:val="20"/>
              </w:rPr>
            </w:pPr>
            <w:r w:rsidRPr="00A4039E">
              <w:rPr>
                <w:rFonts w:ascii="Calibri" w:hAnsi="Calibri"/>
                <w:sz w:val="20"/>
                <w:szCs w:val="20"/>
              </w:rPr>
              <w:t>17%</w:t>
            </w:r>
          </w:p>
        </w:tc>
      </w:tr>
      <w:tr w:rsidR="00A4039E" w:rsidRPr="00C62E6A" w14:paraId="61F8A6B7" w14:textId="77777777" w:rsidTr="00E67775">
        <w:trPr>
          <w:trHeight w:val="315"/>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13ACD" w14:textId="77777777" w:rsidR="00A4039E" w:rsidRPr="00C62E6A" w:rsidRDefault="00A4039E" w:rsidP="00A4039E">
            <w:pPr>
              <w:rPr>
                <w:rFonts w:ascii="Calibri" w:eastAsia="Times New Roman" w:hAnsi="Calibri"/>
                <w:bCs/>
                <w:color w:val="000000"/>
                <w:sz w:val="20"/>
                <w:lang w:val="en-GB" w:eastAsia="en-GB"/>
              </w:rPr>
            </w:pPr>
            <w:r w:rsidRPr="00C62E6A">
              <w:rPr>
                <w:rFonts w:ascii="Calibri" w:eastAsia="Times New Roman" w:hAnsi="Calibri"/>
                <w:bCs/>
                <w:color w:val="000000"/>
                <w:sz w:val="20"/>
                <w:lang w:val="en-GB" w:eastAsia="en-GB"/>
              </w:rPr>
              <w:t>High</w:t>
            </w:r>
          </w:p>
        </w:tc>
        <w:tc>
          <w:tcPr>
            <w:tcW w:w="450" w:type="pct"/>
            <w:tcBorders>
              <w:top w:val="single" w:sz="4" w:space="0" w:color="auto"/>
              <w:left w:val="single" w:sz="4" w:space="0" w:color="auto"/>
              <w:bottom w:val="single" w:sz="4" w:space="0" w:color="auto"/>
              <w:right w:val="single" w:sz="4" w:space="0" w:color="auto"/>
            </w:tcBorders>
            <w:shd w:val="clear" w:color="auto" w:fill="auto"/>
            <w:hideMark/>
          </w:tcPr>
          <w:p w14:paraId="29599747" w14:textId="4C1F6185" w:rsidR="00A4039E" w:rsidRPr="00A4039E" w:rsidRDefault="00A4039E" w:rsidP="00A4039E">
            <w:pPr>
              <w:jc w:val="center"/>
              <w:outlineLvl w:val="0"/>
              <w:rPr>
                <w:rFonts w:ascii="Calibri" w:hAnsi="Calibri"/>
                <w:sz w:val="20"/>
                <w:szCs w:val="20"/>
              </w:rPr>
            </w:pPr>
            <w:r w:rsidRPr="00A4039E">
              <w:rPr>
                <w:rFonts w:ascii="Calibri" w:hAnsi="Calibri"/>
                <w:sz w:val="20"/>
                <w:szCs w:val="20"/>
              </w:rPr>
              <w:t>53%</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6D0D393C" w14:textId="20C66E66" w:rsidR="00A4039E" w:rsidRPr="00A4039E" w:rsidRDefault="00A4039E" w:rsidP="00A4039E">
            <w:pPr>
              <w:jc w:val="center"/>
              <w:outlineLvl w:val="0"/>
              <w:rPr>
                <w:rFonts w:ascii="Calibri" w:hAnsi="Calibri"/>
                <w:sz w:val="20"/>
                <w:szCs w:val="20"/>
              </w:rPr>
            </w:pPr>
            <w:r w:rsidRPr="00A4039E">
              <w:rPr>
                <w:rFonts w:ascii="Calibri" w:hAnsi="Calibri"/>
                <w:sz w:val="20"/>
                <w:szCs w:val="20"/>
              </w:rPr>
              <w:t>43%</w:t>
            </w:r>
          </w:p>
        </w:tc>
        <w:tc>
          <w:tcPr>
            <w:tcW w:w="601" w:type="pct"/>
            <w:tcBorders>
              <w:top w:val="single" w:sz="4" w:space="0" w:color="auto"/>
              <w:left w:val="single" w:sz="4" w:space="0" w:color="auto"/>
              <w:bottom w:val="single" w:sz="4" w:space="0" w:color="auto"/>
              <w:right w:val="single" w:sz="4" w:space="0" w:color="auto"/>
            </w:tcBorders>
            <w:shd w:val="clear" w:color="auto" w:fill="auto"/>
            <w:hideMark/>
          </w:tcPr>
          <w:p w14:paraId="2F59A6B6" w14:textId="6865A0B2" w:rsidR="00A4039E" w:rsidRPr="00A4039E" w:rsidRDefault="00A4039E" w:rsidP="00A4039E">
            <w:pPr>
              <w:jc w:val="center"/>
              <w:outlineLvl w:val="0"/>
              <w:rPr>
                <w:rFonts w:ascii="Calibri" w:hAnsi="Calibri"/>
                <w:sz w:val="20"/>
                <w:szCs w:val="20"/>
              </w:rPr>
            </w:pPr>
            <w:r w:rsidRPr="00A4039E">
              <w:rPr>
                <w:rFonts w:ascii="Calibri" w:hAnsi="Calibri"/>
                <w:sz w:val="20"/>
                <w:szCs w:val="20"/>
              </w:rPr>
              <w:t>44%</w:t>
            </w:r>
          </w:p>
        </w:tc>
        <w:tc>
          <w:tcPr>
            <w:tcW w:w="759" w:type="pct"/>
            <w:tcBorders>
              <w:top w:val="single" w:sz="4" w:space="0" w:color="auto"/>
              <w:left w:val="single" w:sz="4" w:space="0" w:color="auto"/>
              <w:bottom w:val="single" w:sz="4" w:space="0" w:color="auto"/>
              <w:right w:val="single" w:sz="4" w:space="0" w:color="auto"/>
            </w:tcBorders>
            <w:shd w:val="clear" w:color="auto" w:fill="auto"/>
            <w:hideMark/>
          </w:tcPr>
          <w:p w14:paraId="1D5D6DF5" w14:textId="3B0A3252" w:rsidR="00A4039E" w:rsidRPr="00A4039E" w:rsidRDefault="00A4039E" w:rsidP="00A4039E">
            <w:pPr>
              <w:jc w:val="center"/>
              <w:outlineLvl w:val="0"/>
              <w:rPr>
                <w:rFonts w:ascii="Calibri" w:hAnsi="Calibri"/>
                <w:sz w:val="20"/>
                <w:szCs w:val="20"/>
              </w:rPr>
            </w:pPr>
            <w:r w:rsidRPr="00A4039E">
              <w:rPr>
                <w:rFonts w:ascii="Calibri" w:hAnsi="Calibri"/>
                <w:sz w:val="20"/>
                <w:szCs w:val="20"/>
              </w:rPr>
              <w:t>44%</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245021AE" w14:textId="5E52ABEF" w:rsidR="00A4039E" w:rsidRPr="00A4039E" w:rsidRDefault="00A4039E" w:rsidP="00A4039E">
            <w:pPr>
              <w:jc w:val="center"/>
              <w:outlineLvl w:val="0"/>
              <w:rPr>
                <w:rFonts w:ascii="Calibri" w:hAnsi="Calibri"/>
                <w:sz w:val="20"/>
                <w:szCs w:val="20"/>
              </w:rPr>
            </w:pPr>
            <w:r w:rsidRPr="00A4039E">
              <w:rPr>
                <w:rFonts w:ascii="Calibri" w:hAnsi="Calibri"/>
                <w:sz w:val="20"/>
                <w:szCs w:val="20"/>
              </w:rPr>
              <w:t>53%</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3128C33D" w14:textId="64DAA687" w:rsidR="00A4039E" w:rsidRPr="00A4039E" w:rsidRDefault="00A4039E" w:rsidP="00A4039E">
            <w:pPr>
              <w:jc w:val="center"/>
              <w:outlineLvl w:val="0"/>
              <w:rPr>
                <w:rFonts w:ascii="Calibri" w:hAnsi="Calibri"/>
                <w:sz w:val="20"/>
                <w:szCs w:val="20"/>
              </w:rPr>
            </w:pPr>
            <w:r w:rsidRPr="00A4039E">
              <w:rPr>
                <w:rFonts w:ascii="Calibri" w:hAnsi="Calibri"/>
                <w:sz w:val="20"/>
                <w:szCs w:val="20"/>
              </w:rPr>
              <w:t>48%</w:t>
            </w:r>
          </w:p>
        </w:tc>
        <w:tc>
          <w:tcPr>
            <w:tcW w:w="693" w:type="pct"/>
            <w:tcBorders>
              <w:top w:val="single" w:sz="4" w:space="0" w:color="auto"/>
              <w:left w:val="single" w:sz="4" w:space="0" w:color="auto"/>
              <w:bottom w:val="single" w:sz="4" w:space="0" w:color="auto"/>
              <w:right w:val="single" w:sz="4" w:space="0" w:color="auto"/>
            </w:tcBorders>
            <w:shd w:val="clear" w:color="auto" w:fill="auto"/>
            <w:hideMark/>
          </w:tcPr>
          <w:p w14:paraId="03D6C964" w14:textId="56737D9E" w:rsidR="00A4039E" w:rsidRPr="00A4039E" w:rsidRDefault="00A4039E" w:rsidP="00A4039E">
            <w:pPr>
              <w:jc w:val="center"/>
              <w:outlineLvl w:val="0"/>
              <w:rPr>
                <w:rFonts w:ascii="Calibri" w:hAnsi="Calibri"/>
                <w:sz w:val="20"/>
                <w:szCs w:val="20"/>
              </w:rPr>
            </w:pPr>
            <w:r w:rsidRPr="00A4039E">
              <w:rPr>
                <w:rFonts w:ascii="Calibri" w:hAnsi="Calibri"/>
                <w:sz w:val="20"/>
                <w:szCs w:val="20"/>
              </w:rPr>
              <w:t>19%</w:t>
            </w:r>
          </w:p>
        </w:tc>
      </w:tr>
    </w:tbl>
    <w:p w14:paraId="13BAF810" w14:textId="77777777" w:rsidR="00D734C9" w:rsidRPr="00D734C9" w:rsidRDefault="00D734C9" w:rsidP="00D734C9">
      <w:pPr>
        <w:pStyle w:val="Numberedpara"/>
        <w:numPr>
          <w:ilvl w:val="0"/>
          <w:numId w:val="0"/>
        </w:numPr>
        <w:ind w:left="360" w:hanging="360"/>
      </w:pPr>
    </w:p>
    <w:p w14:paraId="77141933" w14:textId="143E9858" w:rsidR="007D47E0" w:rsidRDefault="00212D4C" w:rsidP="00EC65C8">
      <w:pPr>
        <w:pStyle w:val="Numberedpara"/>
      </w:pPr>
      <w:r w:rsidRPr="005512F1">
        <w:rPr>
          <w:b/>
        </w:rPr>
        <w:t xml:space="preserve">Reform efforts </w:t>
      </w:r>
      <w:r w:rsidR="007034F9">
        <w:rPr>
          <w:b/>
        </w:rPr>
        <w:t xml:space="preserve">will </w:t>
      </w:r>
      <w:r w:rsidRPr="005512F1">
        <w:rPr>
          <w:b/>
        </w:rPr>
        <w:t>require constant work.</w:t>
      </w:r>
      <w:r w:rsidRPr="005512F1">
        <w:t xml:space="preserve"> </w:t>
      </w:r>
      <w:r w:rsidR="009E47FD">
        <w:t>Fifty six percent (</w:t>
      </w:r>
      <w:r w:rsidR="00A4039E">
        <w:t>52</w:t>
      </w:r>
      <w:r w:rsidR="007D47E0">
        <w:t>%</w:t>
      </w:r>
      <w:r w:rsidR="009E47FD">
        <w:t>) of</w:t>
      </w:r>
      <w:r w:rsidR="007D47E0">
        <w:t xml:space="preserve"> activities </w:t>
      </w:r>
      <w:r w:rsidR="007034F9">
        <w:t xml:space="preserve">will </w:t>
      </w:r>
      <w:r w:rsidR="009E47FD">
        <w:t>take twelve</w:t>
      </w:r>
      <w:r w:rsidR="007D47E0">
        <w:t xml:space="preserve"> months </w:t>
      </w:r>
      <w:r w:rsidR="009E47FD">
        <w:t>or more to complete starting</w:t>
      </w:r>
      <w:r w:rsidR="007034F9">
        <w:t xml:space="preserve"> in</w:t>
      </w:r>
      <w:r w:rsidR="007D47E0">
        <w:t xml:space="preserve"> 2016</w:t>
      </w:r>
      <w:r w:rsidR="00FD7FF0">
        <w:t>,</w:t>
      </w:r>
      <w:r w:rsidR="007034F9">
        <w:t xml:space="preserve"> which could lead to signifi</w:t>
      </w:r>
      <w:r w:rsidR="008C41A7">
        <w:t>cant delays in future reforms if</w:t>
      </w:r>
      <w:r w:rsidR="007034F9">
        <w:t xml:space="preserve"> activities roll over from this year to next year</w:t>
      </w:r>
      <w:r w:rsidR="0086748D">
        <w:t xml:space="preserve"> (see </w:t>
      </w:r>
      <w:r w:rsidR="0086748D">
        <w:fldChar w:fldCharType="begin"/>
      </w:r>
      <w:r w:rsidR="0086748D">
        <w:instrText xml:space="preserve"> REF _Ref443822181 \n \h </w:instrText>
      </w:r>
      <w:r w:rsidR="0086748D">
        <w:fldChar w:fldCharType="separate"/>
      </w:r>
      <w:r w:rsidR="00004C5E">
        <w:t>Figure 11</w:t>
      </w:r>
      <w:r w:rsidR="0086748D">
        <w:fldChar w:fldCharType="end"/>
      </w:r>
      <w:r w:rsidR="0086748D">
        <w:t>).</w:t>
      </w:r>
    </w:p>
    <w:p w14:paraId="7E179E30" w14:textId="5046C28F" w:rsidR="007D47E0" w:rsidRPr="007D47E0" w:rsidRDefault="005512F1" w:rsidP="00EC65C8">
      <w:pPr>
        <w:pStyle w:val="Numberedpara"/>
      </w:pPr>
      <w:r w:rsidRPr="005512F1">
        <w:rPr>
          <w:b/>
        </w:rPr>
        <w:t xml:space="preserve">Reform requires </w:t>
      </w:r>
      <w:r w:rsidR="007034F9">
        <w:rPr>
          <w:b/>
        </w:rPr>
        <w:t xml:space="preserve">much better </w:t>
      </w:r>
      <w:r w:rsidRPr="005512F1">
        <w:rPr>
          <w:b/>
        </w:rPr>
        <w:t>cooperation</w:t>
      </w:r>
      <w:r w:rsidR="007034F9">
        <w:rPr>
          <w:b/>
        </w:rPr>
        <w:t xml:space="preserve"> amongst teams</w:t>
      </w:r>
      <w:r w:rsidRPr="008C41A7">
        <w:rPr>
          <w:b/>
        </w:rPr>
        <w:t>.</w:t>
      </w:r>
      <w:r w:rsidRPr="008C41A7">
        <w:t xml:space="preserve"> </w:t>
      </w:r>
      <w:r w:rsidR="009E47FD" w:rsidRPr="008C41A7">
        <w:t>Forty two per cent (</w:t>
      </w:r>
      <w:r w:rsidR="00FC0BE7">
        <w:t>37</w:t>
      </w:r>
      <w:r w:rsidR="007034F9">
        <w:t>%</w:t>
      </w:r>
      <w:r w:rsidR="009E47FD">
        <w:t>)</w:t>
      </w:r>
      <w:r w:rsidR="007034F9">
        <w:t xml:space="preserve"> of activities require</w:t>
      </w:r>
      <w:r w:rsidR="00256878">
        <w:t xml:space="preserve"> coordination w</w:t>
      </w:r>
      <w:r w:rsidR="00FC0BE7">
        <w:t xml:space="preserve">ith more than 14 </w:t>
      </w:r>
      <w:r w:rsidR="00FC0BE7">
        <w:lastRenderedPageBreak/>
        <w:t>organisations, and Sixty one per cent (61%)</w:t>
      </w:r>
      <w:r w:rsidR="0086748D">
        <w:t xml:space="preserve"> requiring 6 more organisations</w:t>
      </w:r>
      <w:r w:rsidR="0086748D" w:rsidRPr="0086748D">
        <w:t xml:space="preserve"> </w:t>
      </w:r>
      <w:r w:rsidR="0086748D">
        <w:t xml:space="preserve">(see </w:t>
      </w:r>
      <w:r w:rsidR="0086748D">
        <w:fldChar w:fldCharType="begin"/>
      </w:r>
      <w:r w:rsidR="0086748D">
        <w:instrText xml:space="preserve"> REF _Ref443822181 \n \h </w:instrText>
      </w:r>
      <w:r w:rsidR="0086748D">
        <w:fldChar w:fldCharType="separate"/>
      </w:r>
      <w:r w:rsidR="00004C5E">
        <w:t>Figure 11</w:t>
      </w:r>
      <w:r w:rsidR="0086748D">
        <w:fldChar w:fldCharType="end"/>
      </w:r>
      <w:r w:rsidR="0086748D">
        <w:t>).</w:t>
      </w:r>
    </w:p>
    <w:p w14:paraId="7176A168" w14:textId="5EDE4628" w:rsidR="00D85E8D" w:rsidRDefault="00D85E8D" w:rsidP="00D85E8D">
      <w:pPr>
        <w:pStyle w:val="FigureHeader"/>
      </w:pPr>
      <w:bookmarkStart w:id="56" w:name="_Ref443822181"/>
      <w:bookmarkStart w:id="57" w:name="_Toc457162659"/>
      <w:r>
        <w:t>Time Required and Coordination</w:t>
      </w:r>
      <w:r w:rsidR="0076346C">
        <w:t xml:space="preserve"> Requirements of Activities</w:t>
      </w:r>
      <w:bookmarkEnd w:id="56"/>
      <w:bookmarkEnd w:id="57"/>
      <w:r w:rsidR="0086748D">
        <w:t xml:space="preserve"> </w:t>
      </w:r>
    </w:p>
    <w:p w14:paraId="6609601A" w14:textId="1A24D355" w:rsidR="0086748D" w:rsidRDefault="0086748D" w:rsidP="0086748D">
      <w:pPr>
        <w:pBdr>
          <w:top w:val="single" w:sz="4" w:space="1" w:color="auto"/>
          <w:left w:val="single" w:sz="4" w:space="4" w:color="auto"/>
          <w:bottom w:val="single" w:sz="4" w:space="1" w:color="auto"/>
          <w:right w:val="single" w:sz="4" w:space="4" w:color="auto"/>
        </w:pBdr>
        <w:shd w:val="clear" w:color="auto" w:fill="E3F1E1" w:themeFill="accent4" w:themeFillTint="33"/>
        <w:jc w:val="center"/>
      </w:pPr>
      <w:r w:rsidRPr="0086748D">
        <w:rPr>
          <w:noProof/>
        </w:rPr>
        <w:drawing>
          <wp:inline distT="0" distB="0" distL="0" distR="0" wp14:anchorId="20A5A9B1" wp14:editId="60169A4B">
            <wp:extent cx="5732145" cy="3744480"/>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2145" cy="3744480"/>
                    </a:xfrm>
                    <a:prstGeom prst="rect">
                      <a:avLst/>
                    </a:prstGeom>
                    <a:noFill/>
                    <a:ln>
                      <a:noFill/>
                    </a:ln>
                  </pic:spPr>
                </pic:pic>
              </a:graphicData>
            </a:graphic>
          </wp:inline>
        </w:drawing>
      </w:r>
      <w:r w:rsidRPr="0086748D">
        <w:t xml:space="preserve"> </w:t>
      </w:r>
      <w:r w:rsidRPr="0086748D">
        <w:rPr>
          <w:noProof/>
        </w:rPr>
        <w:drawing>
          <wp:inline distT="0" distB="0" distL="0" distR="0" wp14:anchorId="6ED3A193" wp14:editId="033F7301">
            <wp:extent cx="5731349" cy="288607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8759" cy="2894842"/>
                    </a:xfrm>
                    <a:prstGeom prst="rect">
                      <a:avLst/>
                    </a:prstGeom>
                    <a:noFill/>
                    <a:ln>
                      <a:noFill/>
                    </a:ln>
                  </pic:spPr>
                </pic:pic>
              </a:graphicData>
            </a:graphic>
          </wp:inline>
        </w:drawing>
      </w:r>
    </w:p>
    <w:p w14:paraId="3B9B8F49" w14:textId="77777777" w:rsidR="0086748D" w:rsidRDefault="0086748D" w:rsidP="0086748D">
      <w:pPr>
        <w:pStyle w:val="Numberedpara"/>
      </w:pPr>
      <w:r>
        <w:rPr>
          <w:b/>
        </w:rPr>
        <w:t>A strong office of the Minster for Finance is crucial as a</w:t>
      </w:r>
      <w:r w:rsidRPr="00C62E6A">
        <w:rPr>
          <w:b/>
        </w:rPr>
        <w:t>ll roads lead to the Minister’s Office.</w:t>
      </w:r>
      <w:r>
        <w:t xml:space="preserve"> Around sixty five percent </w:t>
      </w:r>
      <w:r w:rsidRPr="008C41A7">
        <w:t>(</w:t>
      </w:r>
      <w:r>
        <w:t>74</w:t>
      </w:r>
      <w:r w:rsidRPr="008C41A7">
        <w:t>%) of</w:t>
      </w:r>
      <w:r>
        <w:t xml:space="preserve"> all organisational dependencies identified involve the Minister’s Office. </w:t>
      </w:r>
    </w:p>
    <w:p w14:paraId="09E64C6E" w14:textId="30BFC610" w:rsidR="00EE2AA0" w:rsidRDefault="00CD297D" w:rsidP="00EE2AA0">
      <w:pPr>
        <w:pStyle w:val="FigureHeader"/>
      </w:pPr>
      <w:bookmarkStart w:id="58" w:name="_Ref443218768"/>
      <w:bookmarkStart w:id="59" w:name="_Ref443823494"/>
      <w:bookmarkStart w:id="60" w:name="_Toc457162660"/>
      <w:r>
        <w:lastRenderedPageBreak/>
        <w:t>Risk-</w:t>
      </w:r>
      <w:r w:rsidR="00EE2AA0">
        <w:t>Return (</w:t>
      </w:r>
      <w:r w:rsidR="0021295E">
        <w:t>&amp;</w:t>
      </w:r>
      <w:r w:rsidR="00442EB7">
        <w:t xml:space="preserve"> </w:t>
      </w:r>
      <w:r w:rsidR="00EE2AA0">
        <w:t>TA) Space</w:t>
      </w:r>
      <w:bookmarkEnd w:id="58"/>
      <w:r w:rsidR="0021295E">
        <w:t xml:space="preserve"> Selected PFM Reform Driving Teams</w:t>
      </w:r>
      <w:bookmarkEnd w:id="59"/>
      <w:bookmarkEnd w:id="60"/>
    </w:p>
    <w:p w14:paraId="38C13D1E" w14:textId="00879810" w:rsidR="00321E4B" w:rsidRPr="00321E4B" w:rsidRDefault="00E2473B" w:rsidP="003F5716">
      <w:pPr>
        <w:pBdr>
          <w:top w:val="single" w:sz="4" w:space="1" w:color="auto"/>
          <w:left w:val="single" w:sz="4" w:space="4" w:color="auto"/>
          <w:bottom w:val="single" w:sz="4" w:space="1" w:color="auto"/>
          <w:right w:val="single" w:sz="4" w:space="4" w:color="auto"/>
        </w:pBdr>
        <w:shd w:val="clear" w:color="auto" w:fill="E3F1E1" w:themeFill="accent4" w:themeFillTint="33"/>
        <w:jc w:val="center"/>
      </w:pPr>
      <w:r w:rsidRPr="00E2473B">
        <w:rPr>
          <w:noProof/>
        </w:rPr>
        <w:drawing>
          <wp:inline distT="0" distB="0" distL="0" distR="0" wp14:anchorId="7AE8E986" wp14:editId="0DC66CB1">
            <wp:extent cx="2772000" cy="372600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r w:rsidRPr="00E2473B">
        <w:rPr>
          <w:noProof/>
        </w:rPr>
        <w:drawing>
          <wp:inline distT="0" distB="0" distL="0" distR="0" wp14:anchorId="76DB9742" wp14:editId="7CFCF869">
            <wp:extent cx="2772000" cy="372600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r w:rsidRPr="00E2473B">
        <w:rPr>
          <w:noProof/>
        </w:rPr>
        <w:drawing>
          <wp:inline distT="0" distB="0" distL="0" distR="0" wp14:anchorId="2F6B9CB1" wp14:editId="572B5A6A">
            <wp:extent cx="2772000" cy="372600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r w:rsidRPr="00E2473B">
        <w:rPr>
          <w:noProof/>
        </w:rPr>
        <w:drawing>
          <wp:inline distT="0" distB="0" distL="0" distR="0" wp14:anchorId="37AEF4CA" wp14:editId="620CBAC5">
            <wp:extent cx="2772000" cy="372600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p>
    <w:p w14:paraId="342B8F02" w14:textId="77777777" w:rsidR="00D734C9" w:rsidRPr="00D734C9" w:rsidRDefault="00D734C9" w:rsidP="00D734C9">
      <w:pPr>
        <w:pStyle w:val="Numberedpara"/>
        <w:numPr>
          <w:ilvl w:val="0"/>
          <w:numId w:val="0"/>
        </w:numPr>
        <w:ind w:left="360"/>
      </w:pPr>
    </w:p>
    <w:p w14:paraId="34BE54C5" w14:textId="77777777" w:rsidR="00B72D56" w:rsidRDefault="00B72D56" w:rsidP="00B72D56">
      <w:pPr>
        <w:pStyle w:val="FigureHeader"/>
      </w:pPr>
      <w:bookmarkStart w:id="61" w:name="_Ref443823495"/>
      <w:bookmarkStart w:id="62" w:name="_Toc457162661"/>
      <w:r>
        <w:lastRenderedPageBreak/>
        <w:t>Revenue Generating Agencies: Risk-Return Space</w:t>
      </w:r>
      <w:bookmarkEnd w:id="61"/>
      <w:bookmarkEnd w:id="62"/>
    </w:p>
    <w:p w14:paraId="560ACD31" w14:textId="2CD26F3D" w:rsidR="00421DA4" w:rsidRDefault="00694596" w:rsidP="003F5716">
      <w:pPr>
        <w:pBdr>
          <w:top w:val="single" w:sz="4" w:space="1" w:color="auto"/>
          <w:left w:val="single" w:sz="4" w:space="4" w:color="auto"/>
          <w:bottom w:val="single" w:sz="4" w:space="1" w:color="auto"/>
          <w:right w:val="single" w:sz="4" w:space="4" w:color="auto"/>
        </w:pBdr>
        <w:shd w:val="clear" w:color="auto" w:fill="E3F1E1" w:themeFill="accent4" w:themeFillTint="33"/>
        <w:jc w:val="center"/>
      </w:pPr>
      <w:r w:rsidRPr="00694596">
        <w:rPr>
          <w:noProof/>
        </w:rPr>
        <w:drawing>
          <wp:inline distT="0" distB="0" distL="0" distR="0" wp14:anchorId="369141D1" wp14:editId="3498CD1D">
            <wp:extent cx="2772000" cy="3726000"/>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r w:rsidRPr="00694596">
        <w:rPr>
          <w:noProof/>
        </w:rPr>
        <w:drawing>
          <wp:inline distT="0" distB="0" distL="0" distR="0" wp14:anchorId="15F7554E" wp14:editId="04E0A053">
            <wp:extent cx="2772000" cy="3726000"/>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p>
    <w:p w14:paraId="62CF2F46" w14:textId="338EAE93" w:rsidR="00EE2AA0" w:rsidRDefault="00CD297D" w:rsidP="00EE2AA0">
      <w:pPr>
        <w:pStyle w:val="FigureHeader"/>
      </w:pPr>
      <w:bookmarkStart w:id="63" w:name="_Ref443218774"/>
      <w:bookmarkStart w:id="64" w:name="_Toc457162662"/>
      <w:r>
        <w:t>Admin and Finance: Risk-</w:t>
      </w:r>
      <w:r w:rsidR="00EE2AA0">
        <w:t>Return (performance and TA) Space</w:t>
      </w:r>
      <w:bookmarkEnd w:id="63"/>
      <w:bookmarkEnd w:id="64"/>
    </w:p>
    <w:p w14:paraId="6FCE547E" w14:textId="78A21267" w:rsidR="00EE2AA0" w:rsidRDefault="00CD67DA" w:rsidP="003F5716">
      <w:pPr>
        <w:pBdr>
          <w:top w:val="single" w:sz="4" w:space="1" w:color="auto"/>
          <w:left w:val="single" w:sz="4" w:space="4" w:color="auto"/>
          <w:bottom w:val="single" w:sz="4" w:space="1" w:color="auto"/>
          <w:right w:val="single" w:sz="4" w:space="4" w:color="auto"/>
        </w:pBdr>
        <w:shd w:val="clear" w:color="auto" w:fill="E3F1E1" w:themeFill="accent4" w:themeFillTint="33"/>
        <w:jc w:val="center"/>
      </w:pPr>
      <w:r w:rsidRPr="00CD67DA">
        <w:rPr>
          <w:noProof/>
        </w:rPr>
        <w:drawing>
          <wp:inline distT="0" distB="0" distL="0" distR="0" wp14:anchorId="0AA5012A" wp14:editId="59BB62F8">
            <wp:extent cx="2772000" cy="372600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r w:rsidRPr="00CD67DA">
        <w:rPr>
          <w:noProof/>
        </w:rPr>
        <w:drawing>
          <wp:inline distT="0" distB="0" distL="0" distR="0" wp14:anchorId="5939DB2A" wp14:editId="0521AF5A">
            <wp:extent cx="2772000" cy="3726000"/>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2000" cy="3726000"/>
                    </a:xfrm>
                    <a:prstGeom prst="rect">
                      <a:avLst/>
                    </a:prstGeom>
                    <a:noFill/>
                    <a:ln>
                      <a:noFill/>
                    </a:ln>
                  </pic:spPr>
                </pic:pic>
              </a:graphicData>
            </a:graphic>
          </wp:inline>
        </w:drawing>
      </w:r>
    </w:p>
    <w:p w14:paraId="6A7111E9" w14:textId="77777777" w:rsidR="007B51F8" w:rsidRPr="007B51F8" w:rsidRDefault="007B51F8" w:rsidP="005F4325"/>
    <w:p w14:paraId="0EC90F62" w14:textId="77777777" w:rsidR="007B51F8" w:rsidRPr="007B51F8" w:rsidRDefault="007B51F8" w:rsidP="005F4325"/>
    <w:p w14:paraId="08643FD7" w14:textId="02C58C6C" w:rsidR="00D734C9" w:rsidRPr="00D734C9" w:rsidRDefault="003B7361" w:rsidP="003B7361">
      <w:pPr>
        <w:pStyle w:val="Numberedpara"/>
      </w:pPr>
      <w:r>
        <w:rPr>
          <w:b/>
        </w:rPr>
        <w:lastRenderedPageBreak/>
        <w:fldChar w:fldCharType="begin"/>
      </w:r>
      <w:r>
        <w:rPr>
          <w:b/>
        </w:rPr>
        <w:instrText xml:space="preserve"> REF _Ref443823494 \n \h </w:instrText>
      </w:r>
      <w:r>
        <w:rPr>
          <w:b/>
        </w:rPr>
      </w:r>
      <w:r>
        <w:rPr>
          <w:b/>
        </w:rPr>
        <w:fldChar w:fldCharType="separate"/>
      </w:r>
      <w:r w:rsidR="00004C5E">
        <w:rPr>
          <w:b/>
        </w:rPr>
        <w:t>Figure 12</w:t>
      </w:r>
      <w:r>
        <w:rPr>
          <w:b/>
        </w:rPr>
        <w:fldChar w:fldCharType="end"/>
      </w:r>
      <w:r>
        <w:rPr>
          <w:b/>
        </w:rPr>
        <w:t xml:space="preserve"> and </w:t>
      </w:r>
      <w:r>
        <w:rPr>
          <w:b/>
        </w:rPr>
        <w:fldChar w:fldCharType="begin"/>
      </w:r>
      <w:r>
        <w:rPr>
          <w:b/>
        </w:rPr>
        <w:instrText xml:space="preserve"> REF _Ref443823495 \n \h </w:instrText>
      </w:r>
      <w:r>
        <w:rPr>
          <w:b/>
        </w:rPr>
      </w:r>
      <w:r>
        <w:rPr>
          <w:b/>
        </w:rPr>
        <w:fldChar w:fldCharType="separate"/>
      </w:r>
      <w:r w:rsidR="00004C5E">
        <w:rPr>
          <w:b/>
        </w:rPr>
        <w:t>Figure 13</w:t>
      </w:r>
      <w:r>
        <w:rPr>
          <w:b/>
        </w:rPr>
        <w:fldChar w:fldCharType="end"/>
      </w:r>
      <w:r>
        <w:rPr>
          <w:b/>
        </w:rPr>
        <w:t xml:space="preserve">reveals High Risk High Return Reform profiles </w:t>
      </w:r>
      <w:r w:rsidRPr="003F5716">
        <w:t>for activities by Budget, MFPD, Aid Management, Treasury</w:t>
      </w:r>
      <w:r>
        <w:t xml:space="preserve"> and the revenue</w:t>
      </w:r>
      <w:r w:rsidRPr="003F5716">
        <w:t xml:space="preserve"> agencies.</w:t>
      </w:r>
      <w:r>
        <w:rPr>
          <w:b/>
        </w:rPr>
        <w:t xml:space="preserve"> </w:t>
      </w:r>
      <w:r>
        <w:t>This is a good signal that teams are willing to tackle the hard issues, but will need monitoring in semi-annual assessments to make sure there is progress, and major reforms are not lagging behind.</w:t>
      </w:r>
    </w:p>
    <w:p w14:paraId="4126D8DC" w14:textId="351F7B05" w:rsidR="003F5716" w:rsidRDefault="003F5716" w:rsidP="003F5716">
      <w:pPr>
        <w:pStyle w:val="Numberedpara"/>
      </w:pPr>
      <w:r w:rsidRPr="008C41A7">
        <w:rPr>
          <w:b/>
        </w:rPr>
        <w:t>Similarly, a High Risk High Return Reform profile for activities in getting MoF corporate services up to standard is also evident.</w:t>
      </w:r>
      <w:r>
        <w:t xml:space="preserve"> This in part represents the low base that MoF is starting from but progress is crucial in MoF b</w:t>
      </w:r>
      <w:r w:rsidRPr="00AA40A4">
        <w:t>uildi</w:t>
      </w:r>
      <w:r>
        <w:t>ng the moral authority to push PFM reforms to line ministries and donors</w:t>
      </w:r>
      <w:r w:rsidR="003B7361">
        <w:t xml:space="preserve"> (see </w:t>
      </w:r>
      <w:r w:rsidR="003B7361">
        <w:fldChar w:fldCharType="begin"/>
      </w:r>
      <w:r w:rsidR="003B7361">
        <w:instrText xml:space="preserve"> REF _Ref443218774 \r \h </w:instrText>
      </w:r>
      <w:r w:rsidR="003B7361">
        <w:fldChar w:fldCharType="separate"/>
      </w:r>
      <w:r w:rsidR="00004C5E">
        <w:t>Figure 14</w:t>
      </w:r>
      <w:r w:rsidR="003B7361">
        <w:fldChar w:fldCharType="end"/>
      </w:r>
      <w:r w:rsidR="003B7361">
        <w:t>)</w:t>
      </w:r>
      <w:r w:rsidRPr="00AA40A4">
        <w:t xml:space="preserve">. </w:t>
      </w:r>
    </w:p>
    <w:p w14:paraId="35B8C1C3" w14:textId="38649CC3" w:rsidR="004574E3" w:rsidRDefault="004574E3" w:rsidP="00E72F5D">
      <w:pPr>
        <w:pStyle w:val="Heading2"/>
      </w:pPr>
      <w:bookmarkStart w:id="65" w:name="_Toc457162624"/>
      <w:r>
        <w:t>Staffing Priorities – Technical Assistance Gaps</w:t>
      </w:r>
      <w:bookmarkEnd w:id="65"/>
    </w:p>
    <w:p w14:paraId="68526E07" w14:textId="1C3152BE" w:rsidR="00321E4B" w:rsidRDefault="005076E5" w:rsidP="00EC65C8">
      <w:pPr>
        <w:pStyle w:val="Numberedpara"/>
      </w:pPr>
      <w:r w:rsidRPr="00321E4B">
        <w:rPr>
          <w:b/>
        </w:rPr>
        <w:t xml:space="preserve">The </w:t>
      </w:r>
      <w:r w:rsidR="00E279ED" w:rsidRPr="00321E4B">
        <w:rPr>
          <w:b/>
        </w:rPr>
        <w:t xml:space="preserve">detailed 5 year plans attached to this paper reveal that much of the </w:t>
      </w:r>
      <w:r w:rsidRPr="00321E4B">
        <w:rPr>
          <w:b/>
        </w:rPr>
        <w:t xml:space="preserve">reform </w:t>
      </w:r>
      <w:r w:rsidR="00E279ED" w:rsidRPr="00321E4B">
        <w:rPr>
          <w:b/>
        </w:rPr>
        <w:t>agenda is about actions being taken</w:t>
      </w:r>
      <w:r w:rsidRPr="00321E4B">
        <w:rPr>
          <w:b/>
        </w:rPr>
        <w:t xml:space="preserve"> by </w:t>
      </w:r>
      <w:r w:rsidR="00E279ED" w:rsidRPr="00321E4B">
        <w:rPr>
          <w:b/>
        </w:rPr>
        <w:t xml:space="preserve">teams, </w:t>
      </w:r>
      <w:r w:rsidR="008C41A7">
        <w:rPr>
          <w:b/>
        </w:rPr>
        <w:t xml:space="preserve">or </w:t>
      </w:r>
      <w:r w:rsidR="00E279ED" w:rsidRPr="00321E4B">
        <w:rPr>
          <w:b/>
        </w:rPr>
        <w:t>in other words</w:t>
      </w:r>
      <w:r w:rsidR="008C41A7">
        <w:rPr>
          <w:b/>
        </w:rPr>
        <w:t>,</w:t>
      </w:r>
      <w:r w:rsidR="00E279ED" w:rsidRPr="00321E4B">
        <w:rPr>
          <w:b/>
        </w:rPr>
        <w:t xml:space="preserve"> by </w:t>
      </w:r>
      <w:r w:rsidRPr="00321E4B">
        <w:rPr>
          <w:b/>
        </w:rPr>
        <w:t>people.</w:t>
      </w:r>
      <w:r>
        <w:t xml:space="preserve"> </w:t>
      </w:r>
      <w:r w:rsidR="00AB6F6E">
        <w:t>Teams identified t</w:t>
      </w:r>
      <w:r w:rsidR="00E279ED">
        <w:t xml:space="preserve">echnical </w:t>
      </w:r>
      <w:r w:rsidR="008C41A7">
        <w:t>a</w:t>
      </w:r>
      <w:r w:rsidR="00E279ED">
        <w:t>ssistance</w:t>
      </w:r>
      <w:r>
        <w:t xml:space="preserve"> gaps across the board</w:t>
      </w:r>
      <w:r w:rsidR="00E279ED">
        <w:t xml:space="preserve"> using a consistent methodology focussed on the underlying policy of moving away from external assistance towards self-reliance. In contrast to previous designs of projects to assist the </w:t>
      </w:r>
      <w:r w:rsidR="009E47FD">
        <w:t>Government,</w:t>
      </w:r>
      <w:r>
        <w:t xml:space="preserve"> </w:t>
      </w:r>
      <w:r w:rsidR="002376CE">
        <w:t>the</w:t>
      </w:r>
      <w:r>
        <w:t xml:space="preserve"> focus </w:t>
      </w:r>
      <w:r w:rsidR="002376CE">
        <w:t xml:space="preserve">is </w:t>
      </w:r>
      <w:r>
        <w:t xml:space="preserve">on </w:t>
      </w:r>
      <w:r w:rsidR="002376CE">
        <w:t xml:space="preserve">individual </w:t>
      </w:r>
      <w:r w:rsidR="00AB6F6E">
        <w:t>actions</w:t>
      </w:r>
      <w:r>
        <w:t xml:space="preserve"> rather than </w:t>
      </w:r>
      <w:r w:rsidR="00C60919">
        <w:t>thematic areas</w:t>
      </w:r>
      <w:r w:rsidR="00AB6F6E">
        <w:t xml:space="preserve"> and </w:t>
      </w:r>
      <w:r w:rsidR="002376CE">
        <w:t>how much of the wo</w:t>
      </w:r>
      <w:r w:rsidR="00AB6F6E">
        <w:t>rkload borne</w:t>
      </w:r>
      <w:r w:rsidR="008C41A7">
        <w:t xml:space="preserve"> by either national or i</w:t>
      </w:r>
      <w:r w:rsidR="00C60919">
        <w:t>nternational TA</w:t>
      </w:r>
      <w:r w:rsidR="002376CE">
        <w:t xml:space="preserve">.  </w:t>
      </w:r>
    </w:p>
    <w:p w14:paraId="56608213" w14:textId="7528D3AE" w:rsidR="005076E5" w:rsidRDefault="008C41A7" w:rsidP="00EC65C8">
      <w:pPr>
        <w:pStyle w:val="Numberedpara"/>
      </w:pPr>
      <w:r>
        <w:rPr>
          <w:b/>
        </w:rPr>
        <w:t>The distinction between national and i</w:t>
      </w:r>
      <w:r w:rsidR="002376CE" w:rsidRPr="00321E4B">
        <w:rPr>
          <w:b/>
        </w:rPr>
        <w:t>nternational TA is important as th</w:t>
      </w:r>
      <w:r>
        <w:rPr>
          <w:b/>
        </w:rPr>
        <w:t>ere has been a gradual fall in i</w:t>
      </w:r>
      <w:r w:rsidR="002376CE" w:rsidRPr="00321E4B">
        <w:rPr>
          <w:b/>
        </w:rPr>
        <w:t>nternat</w:t>
      </w:r>
      <w:r w:rsidR="00AB6F6E">
        <w:rPr>
          <w:b/>
        </w:rPr>
        <w:t>ional TA, particularly in the Mo</w:t>
      </w:r>
      <w:r w:rsidR="002376CE" w:rsidRPr="00321E4B">
        <w:rPr>
          <w:b/>
        </w:rPr>
        <w:t>F, but national</w:t>
      </w:r>
      <w:r>
        <w:rPr>
          <w:b/>
        </w:rPr>
        <w:t xml:space="preserve"> TA remains at very high levels. </w:t>
      </w:r>
      <w:r w:rsidRPr="000234C1">
        <w:t>In some departments n</w:t>
      </w:r>
      <w:r w:rsidR="00AB6F6E">
        <w:t>ational TA out number Tashkeel four or five to one</w:t>
      </w:r>
      <w:r w:rsidR="002376CE" w:rsidRPr="000234C1">
        <w:t xml:space="preserve">. </w:t>
      </w:r>
      <w:r w:rsidR="002376CE">
        <w:t>By systematically identifying where the TA is, and linking it to the major actions under the reform plan, we now have a team level view of the needs. It has also helped DGs to plan for moving long-term contractor</w:t>
      </w:r>
      <w:r w:rsidR="00AB6F6E">
        <w:t>s over to T</w:t>
      </w:r>
      <w:r w:rsidR="002376CE">
        <w:t xml:space="preserve">ashkeel, with CBR top ups where appropriate. </w:t>
      </w:r>
      <w:r w:rsidR="00AB6F6E">
        <w:t>There is significant progress</w:t>
      </w:r>
      <w:r w:rsidR="002376CE">
        <w:t xml:space="preserve"> in this area </w:t>
      </w:r>
      <w:r w:rsidR="00AB6F6E">
        <w:t xml:space="preserve">already </w:t>
      </w:r>
      <w:r w:rsidR="002376CE">
        <w:t xml:space="preserve">and the Government expects to see a steady </w:t>
      </w:r>
      <w:r>
        <w:t>move away from long-</w:t>
      </w:r>
      <w:r w:rsidR="002376CE">
        <w:t xml:space="preserve">term TA and towards genuine support for skills gaps. </w:t>
      </w:r>
      <w:r w:rsidR="00C60919">
        <w:t xml:space="preserve"> </w:t>
      </w:r>
    </w:p>
    <w:p w14:paraId="24050EA5" w14:textId="26119AA6" w:rsidR="005076E5" w:rsidRDefault="00AB6F6E" w:rsidP="00EC65C8">
      <w:pPr>
        <w:pStyle w:val="Numberedpara"/>
      </w:pPr>
      <w:r>
        <w:rPr>
          <w:b/>
        </w:rPr>
        <w:t>However, teams still require t</w:t>
      </w:r>
      <w:r w:rsidR="008C41A7">
        <w:rPr>
          <w:b/>
        </w:rPr>
        <w:t>echnical a</w:t>
      </w:r>
      <w:r>
        <w:rPr>
          <w:b/>
        </w:rPr>
        <w:t>ssistance</w:t>
      </w:r>
      <w:r w:rsidR="00421DA4" w:rsidRPr="00421DA4">
        <w:rPr>
          <w:b/>
        </w:rPr>
        <w:t>.</w:t>
      </w:r>
      <w:r w:rsidR="00421DA4">
        <w:t xml:space="preserve"> </w:t>
      </w:r>
      <w:r w:rsidR="00D70B79">
        <w:t>Teams with low or moderate levels of (PFM) competency to deliver on time and to standard manage s</w:t>
      </w:r>
      <w:r w:rsidR="009E47FD">
        <w:t xml:space="preserve">ixty five per cent </w:t>
      </w:r>
      <w:r w:rsidR="009E47FD" w:rsidRPr="008C41A7">
        <w:t>(</w:t>
      </w:r>
      <w:r w:rsidR="00F07478" w:rsidRPr="008C41A7">
        <w:t>65%</w:t>
      </w:r>
      <w:r w:rsidR="009E47FD" w:rsidRPr="008C41A7">
        <w:t>)</w:t>
      </w:r>
      <w:r w:rsidR="00F07478">
        <w:t xml:space="preserve"> o</w:t>
      </w:r>
      <w:r w:rsidR="00D70B79">
        <w:t xml:space="preserve">f activities.  </w:t>
      </w:r>
      <w:r w:rsidR="008C41A7">
        <w:t>Team level d</w:t>
      </w:r>
      <w:r w:rsidR="002376CE">
        <w:t xml:space="preserve">etailed </w:t>
      </w:r>
      <w:r w:rsidR="009E47FD">
        <w:t>5-year</w:t>
      </w:r>
      <w:r w:rsidR="002376CE">
        <w:t xml:space="preserve"> plans provide a useful tool to better </w:t>
      </w:r>
      <w:r w:rsidR="00D70B79">
        <w:t>target</w:t>
      </w:r>
      <w:r w:rsidR="002376CE">
        <w:t xml:space="preserve"> TA</w:t>
      </w:r>
      <w:r w:rsidR="000234C1">
        <w:t xml:space="preserve"> and </w:t>
      </w:r>
      <w:r w:rsidR="00D70B79">
        <w:t xml:space="preserve">need </w:t>
      </w:r>
      <w:r w:rsidR="000234C1">
        <w:t>acti</w:t>
      </w:r>
      <w:r w:rsidR="00D70B79">
        <w:t>vity level costings</w:t>
      </w:r>
      <w:r w:rsidR="000234C1">
        <w:t xml:space="preserve"> to determine </w:t>
      </w:r>
      <w:r w:rsidR="00D70B79">
        <w:t xml:space="preserve">activity level </w:t>
      </w:r>
      <w:r w:rsidR="000234C1">
        <w:t>financing gaps</w:t>
      </w:r>
      <w:r w:rsidR="002376CE">
        <w:t xml:space="preserve">. </w:t>
      </w:r>
      <w:r w:rsidR="00000CE0">
        <w:t xml:space="preserve"> </w:t>
      </w:r>
    </w:p>
    <w:p w14:paraId="1E0F55A5" w14:textId="65EC2E6B" w:rsidR="004574E3" w:rsidRDefault="004574E3" w:rsidP="00060715">
      <w:pPr>
        <w:pStyle w:val="Heading2"/>
      </w:pPr>
      <w:bookmarkStart w:id="66" w:name="_Toc457162625"/>
      <w:r>
        <w:t>Financing – Gaps</w:t>
      </w:r>
      <w:bookmarkEnd w:id="66"/>
    </w:p>
    <w:p w14:paraId="2AC4425E" w14:textId="36F281E2" w:rsidR="00CB62AA" w:rsidRDefault="00CB62AA" w:rsidP="00EC65C8">
      <w:pPr>
        <w:pStyle w:val="Numberedpara"/>
      </w:pPr>
      <w:r>
        <w:t xml:space="preserve"> </w:t>
      </w:r>
      <w:r w:rsidRPr="00321E4B">
        <w:rPr>
          <w:b/>
        </w:rPr>
        <w:t>Financing of this plan will also follow a different process to previous reform programs.</w:t>
      </w:r>
      <w:r w:rsidR="00D70B79">
        <w:t xml:space="preserve"> Much of the work is core business</w:t>
      </w:r>
      <w:r>
        <w:t xml:space="preserve"> undertaken by Government staff. As already noted, external assistance is being phased out </w:t>
      </w:r>
      <w:r w:rsidR="009F2738">
        <w:t xml:space="preserve">to the </w:t>
      </w:r>
      <w:r w:rsidR="00D70B79">
        <w:t xml:space="preserve">maximum </w:t>
      </w:r>
      <w:r w:rsidR="009F2738">
        <w:t xml:space="preserve">extent possible </w:t>
      </w:r>
      <w:r>
        <w:t>and many posi</w:t>
      </w:r>
      <w:r w:rsidR="00D70B79">
        <w:t>tions are being transferred to T</w:t>
      </w:r>
      <w:r>
        <w:t>ashkeel with</w:t>
      </w:r>
      <w:r w:rsidR="008C41A7">
        <w:t xml:space="preserve"> CBR top ups. This reduces the</w:t>
      </w:r>
      <w:r>
        <w:t xml:space="preserve"> need for </w:t>
      </w:r>
      <w:r w:rsidR="00D70B79">
        <w:t xml:space="preserve">additional </w:t>
      </w:r>
      <w:r>
        <w:t xml:space="preserve">external </w:t>
      </w:r>
      <w:r w:rsidR="00D70B79">
        <w:t>financing</w:t>
      </w:r>
      <w:r>
        <w:t xml:space="preserve">. </w:t>
      </w:r>
    </w:p>
    <w:p w14:paraId="0E674E56" w14:textId="116C3CBC" w:rsidR="00CB62AA" w:rsidRDefault="00CB62AA" w:rsidP="00EC65C8">
      <w:pPr>
        <w:pStyle w:val="Numberedpara"/>
      </w:pPr>
      <w:r>
        <w:t xml:space="preserve"> </w:t>
      </w:r>
      <w:r w:rsidRPr="00321E4B">
        <w:rPr>
          <w:b/>
        </w:rPr>
        <w:t xml:space="preserve">There are also some ongoing support programs, </w:t>
      </w:r>
      <w:r w:rsidRPr="000234C1">
        <w:t>such as PFMR2 (World Bank)</w:t>
      </w:r>
      <w:r w:rsidR="009F2738" w:rsidRPr="000234C1">
        <w:t xml:space="preserve">, </w:t>
      </w:r>
      <w:r w:rsidR="000234C1" w:rsidRPr="000234C1">
        <w:t xml:space="preserve">the Customs Reform Project (World Bank), </w:t>
      </w:r>
      <w:r w:rsidR="009F2738" w:rsidRPr="000234C1">
        <w:t>support to the performance management system through a grant to the Institute of State Effectiveness</w:t>
      </w:r>
      <w:r w:rsidR="008C41A7" w:rsidRPr="000234C1">
        <w:t xml:space="preserve"> (DFID and Australian Government)</w:t>
      </w:r>
      <w:r w:rsidRPr="000234C1">
        <w:t xml:space="preserve"> and the APFM</w:t>
      </w:r>
      <w:r w:rsidR="009F2738" w:rsidRPr="000234C1">
        <w:t xml:space="preserve"> program </w:t>
      </w:r>
      <w:r w:rsidR="009F2738" w:rsidRPr="000234C1">
        <w:lastRenderedPageBreak/>
        <w:t>managed by Chemoncis and ASI</w:t>
      </w:r>
      <w:r w:rsidRPr="000234C1">
        <w:t xml:space="preserve"> (USAID).</w:t>
      </w:r>
      <w:r>
        <w:t xml:space="preserve"> In </w:t>
      </w:r>
      <w:r w:rsidR="009E47FD">
        <w:t>addition,</w:t>
      </w:r>
      <w:r>
        <w:t xml:space="preserve"> there is a commitment by donors through the ARTF to support a new phase of PFMR3 with a budget of $50 million. </w:t>
      </w:r>
    </w:p>
    <w:p w14:paraId="09D75AA2" w14:textId="24B8929A" w:rsidR="00CB62AA" w:rsidRDefault="00CB62AA" w:rsidP="00EC65C8">
      <w:pPr>
        <w:pStyle w:val="Numberedpara"/>
      </w:pPr>
      <w:r w:rsidRPr="00321E4B">
        <w:rPr>
          <w:b/>
        </w:rPr>
        <w:t xml:space="preserve"> </w:t>
      </w:r>
      <w:r w:rsidR="00CE5D05" w:rsidRPr="00321E4B">
        <w:rPr>
          <w:b/>
        </w:rPr>
        <w:t xml:space="preserve">In </w:t>
      </w:r>
      <w:r w:rsidR="009E47FD" w:rsidRPr="00321E4B">
        <w:rPr>
          <w:b/>
        </w:rPr>
        <w:t>that,</w:t>
      </w:r>
      <w:r w:rsidR="00CE5D05" w:rsidRPr="00321E4B">
        <w:rPr>
          <w:b/>
        </w:rPr>
        <w:t xml:space="preserve"> sense there is no </w:t>
      </w:r>
      <w:r w:rsidR="00D70B79">
        <w:rPr>
          <w:b/>
        </w:rPr>
        <w:t>major</w:t>
      </w:r>
      <w:r w:rsidR="00CE5D05" w:rsidRPr="00321E4B">
        <w:rPr>
          <w:b/>
        </w:rPr>
        <w:t xml:space="preserve"> financing gap for support of the proposed plan.</w:t>
      </w:r>
      <w:r w:rsidR="00CE5D05">
        <w:t xml:space="preserve"> There is </w:t>
      </w:r>
      <w:r w:rsidR="009E47FD">
        <w:t>however,</w:t>
      </w:r>
      <w:r w:rsidR="00CE5D05">
        <w:t xml:space="preserve"> a need to make sure that support matches</w:t>
      </w:r>
      <w:r w:rsidR="00B81CAF">
        <w:t xml:space="preserve"> priorities (including</w:t>
      </w:r>
      <w:r w:rsidR="00CE5D05">
        <w:t xml:space="preserve"> institutional capacity </w:t>
      </w:r>
      <w:r w:rsidR="00E9588B">
        <w:t>building), and that support is</w:t>
      </w:r>
      <w:r w:rsidR="00CE5D05">
        <w:t xml:space="preserve"> timely and fit for purpose. In general, with the development of team based plans owned and managed by the Government, facilities of the kind that have been employed in the past, such as MBAW and SABII are no longer considered by the Government as the most effective way to manage support.</w:t>
      </w:r>
      <w:r w:rsidR="00E9588B">
        <w:t xml:space="preserve"> Where the Government employs contracted technical assistance we would prefer a</w:t>
      </w:r>
      <w:r w:rsidR="009F2738">
        <w:t xml:space="preserve"> pooled arrangement where resou</w:t>
      </w:r>
      <w:r w:rsidR="00E9588B">
        <w:t>r</w:t>
      </w:r>
      <w:r w:rsidR="009F2738">
        <w:t>c</w:t>
      </w:r>
      <w:r w:rsidR="00D70B79">
        <w:t>es link</w:t>
      </w:r>
      <w:r w:rsidR="00E9588B">
        <w:t xml:space="preserve"> to performance t</w:t>
      </w:r>
      <w:r w:rsidR="00D70B79">
        <w:t>hrough 5 year plans and not</w:t>
      </w:r>
      <w:r w:rsidR="00E9588B">
        <w:t xml:space="preserve"> ex-ante to proposed activities.</w:t>
      </w:r>
    </w:p>
    <w:p w14:paraId="543FF6D8" w14:textId="66F0285A" w:rsidR="00CE5D05" w:rsidRDefault="00CE5D05" w:rsidP="00EC65C8">
      <w:pPr>
        <w:pStyle w:val="Numberedpara"/>
      </w:pPr>
      <w:r>
        <w:t xml:space="preserve"> </w:t>
      </w:r>
      <w:r w:rsidRPr="00321E4B">
        <w:rPr>
          <w:b/>
        </w:rPr>
        <w:t xml:space="preserve">To that end this plan sets out a framework for discussion that indicates the Government’s preference for support </w:t>
      </w:r>
      <w:r w:rsidRPr="00D70B79">
        <w:t>(see the next section below).</w:t>
      </w:r>
      <w:r>
        <w:t xml:space="preserve"> This will form a basis for negotiation with donors with the default being donors going through the ARTF.</w:t>
      </w:r>
      <w:r w:rsidR="009F2738">
        <w:t xml:space="preserve"> </w:t>
      </w:r>
    </w:p>
    <w:p w14:paraId="67CADF2B" w14:textId="77777777" w:rsidR="00E9588B" w:rsidRPr="00321E4B" w:rsidRDefault="00CE5D05" w:rsidP="00E9588B">
      <w:pPr>
        <w:pStyle w:val="Numberedpara"/>
        <w:rPr>
          <w:b/>
        </w:rPr>
      </w:pPr>
      <w:r>
        <w:t xml:space="preserve"> </w:t>
      </w:r>
      <w:r w:rsidRPr="00321E4B">
        <w:rPr>
          <w:b/>
        </w:rPr>
        <w:t xml:space="preserve">Indicative costing of the external support required for this inaugural plan is as follows: </w:t>
      </w:r>
    </w:p>
    <w:p w14:paraId="76082CB8" w14:textId="51D30B6B" w:rsidR="00E9588B" w:rsidRDefault="00E9588B" w:rsidP="005F63B7">
      <w:pPr>
        <w:pStyle w:val="Numberedpara"/>
      </w:pPr>
      <w:r w:rsidRPr="00321E4B">
        <w:rPr>
          <w:b/>
        </w:rPr>
        <w:t xml:space="preserve">Around </w:t>
      </w:r>
      <w:r w:rsidR="00B81CAF">
        <w:rPr>
          <w:b/>
        </w:rPr>
        <w:t>$10</w:t>
      </w:r>
      <w:r w:rsidR="00806119" w:rsidRPr="00321E4B">
        <w:rPr>
          <w:b/>
        </w:rPr>
        <w:t>m p</w:t>
      </w:r>
      <w:r w:rsidRPr="00321E4B">
        <w:rPr>
          <w:b/>
        </w:rPr>
        <w:t xml:space="preserve">er year </w:t>
      </w:r>
      <w:r w:rsidR="00806119" w:rsidRPr="00321E4B">
        <w:rPr>
          <w:b/>
        </w:rPr>
        <w:t>for targeted n</w:t>
      </w:r>
      <w:r w:rsidRPr="00321E4B">
        <w:rPr>
          <w:b/>
        </w:rPr>
        <w:t>ational and international technical assistance /capacity b</w:t>
      </w:r>
      <w:r w:rsidR="00806119" w:rsidRPr="00321E4B">
        <w:rPr>
          <w:b/>
        </w:rPr>
        <w:t>uild</w:t>
      </w:r>
      <w:r w:rsidRPr="00321E4B">
        <w:rPr>
          <w:b/>
        </w:rPr>
        <w:t>ing</w:t>
      </w:r>
      <w:r w:rsidR="009F2738" w:rsidRPr="00321E4B">
        <w:rPr>
          <w:b/>
        </w:rPr>
        <w:t>.</w:t>
      </w:r>
      <w:r w:rsidR="009F2738">
        <w:t xml:space="preserve"> </w:t>
      </w:r>
      <w:r w:rsidR="009E47FD">
        <w:t xml:space="preserve">Ideally, </w:t>
      </w:r>
      <w:r w:rsidR="00D70B79">
        <w:t xml:space="preserve">we would like to pool </w:t>
      </w:r>
      <w:r w:rsidR="009E47FD">
        <w:t>t</w:t>
      </w:r>
      <w:r w:rsidR="009F2738">
        <w:t>his</w:t>
      </w:r>
      <w:r w:rsidR="009E47FD">
        <w:t xml:space="preserve"> </w:t>
      </w:r>
      <w:r w:rsidR="00D70B79">
        <w:t>funding rather than allocate it</w:t>
      </w:r>
      <w:r>
        <w:t xml:space="preserve"> to specific activities. This pooled arrangement would cover all agencies except Customs who </w:t>
      </w:r>
      <w:r w:rsidR="00D70B79">
        <w:t>have ongoing support from the</w:t>
      </w:r>
      <w:r>
        <w:t xml:space="preserve"> World Bank. </w:t>
      </w:r>
      <w:r w:rsidR="00806119">
        <w:t xml:space="preserve"> </w:t>
      </w:r>
      <w:r>
        <w:t xml:space="preserve">Agencies would cost their TA needs by activity under their </w:t>
      </w:r>
      <w:r w:rsidR="009E47FD">
        <w:t>5-year</w:t>
      </w:r>
      <w:r>
        <w:t xml:space="preserve"> plans and bid for funds. The Minister would then allocate resources based on need and performance. Appropriate third party monitoring and audit </w:t>
      </w:r>
      <w:r w:rsidR="00D70B79">
        <w:t xml:space="preserve">are required. One option is for the Government or donors to procure a </w:t>
      </w:r>
      <w:r w:rsidR="00321E4B">
        <w:t>managing contractor and</w:t>
      </w:r>
      <w:r w:rsidR="00B81CAF">
        <w:t>/or</w:t>
      </w:r>
      <w:r w:rsidR="00321E4B">
        <w:t xml:space="preserve"> the </w:t>
      </w:r>
      <w:r w:rsidR="00B81CAF">
        <w:t>ARTF could</w:t>
      </w:r>
      <w:r w:rsidR="009F2738">
        <w:t xml:space="preserve"> contribute to this pooled arrangement.</w:t>
      </w:r>
    </w:p>
    <w:p w14:paraId="2F822D04" w14:textId="47EB666D" w:rsidR="000234C1" w:rsidRDefault="000234C1" w:rsidP="005F63B7">
      <w:pPr>
        <w:pStyle w:val="Numberedpara"/>
      </w:pPr>
      <w:r w:rsidRPr="00321E4B">
        <w:rPr>
          <w:b/>
        </w:rPr>
        <w:t xml:space="preserve">Around $5m per for support to </w:t>
      </w:r>
      <w:r w:rsidR="00C377C3">
        <w:rPr>
          <w:b/>
        </w:rPr>
        <w:t xml:space="preserve">state </w:t>
      </w:r>
      <w:r w:rsidR="00E04AC5">
        <w:rPr>
          <w:b/>
        </w:rPr>
        <w:t>institution</w:t>
      </w:r>
      <w:r w:rsidRPr="00321E4B">
        <w:rPr>
          <w:b/>
        </w:rPr>
        <w:t xml:space="preserve"> capacity building,</w:t>
      </w:r>
      <w:r>
        <w:t xml:space="preserve"> including for travel, training, scholarships, legal advice and incentives.</w:t>
      </w:r>
    </w:p>
    <w:p w14:paraId="790D0BEF" w14:textId="646ADC38" w:rsidR="003F686B" w:rsidRDefault="00E9588B" w:rsidP="005F63B7">
      <w:pPr>
        <w:pStyle w:val="Numberedpara"/>
      </w:pPr>
      <w:r w:rsidRPr="00321E4B">
        <w:rPr>
          <w:b/>
        </w:rPr>
        <w:t xml:space="preserve">Around </w:t>
      </w:r>
      <w:r w:rsidR="00806119" w:rsidRPr="00321E4B">
        <w:rPr>
          <w:b/>
        </w:rPr>
        <w:t>$2m p</w:t>
      </w:r>
      <w:r w:rsidRPr="00321E4B">
        <w:rPr>
          <w:b/>
        </w:rPr>
        <w:t>er year for</w:t>
      </w:r>
      <w:r w:rsidR="00806119" w:rsidRPr="00321E4B">
        <w:rPr>
          <w:b/>
        </w:rPr>
        <w:t xml:space="preserve"> IT infrastructure work.</w:t>
      </w:r>
      <w:r w:rsidR="00806119">
        <w:t xml:space="preserve"> </w:t>
      </w:r>
      <w:r>
        <w:t xml:space="preserve">This would include building </w:t>
      </w:r>
      <w:r w:rsidR="000234C1">
        <w:t>an</w:t>
      </w:r>
      <w:r>
        <w:t xml:space="preserve"> intranet, email, HR, payroll and finance systems that would reach the entire Ministry</w:t>
      </w:r>
      <w:r w:rsidR="000234C1">
        <w:t xml:space="preserve"> of Finance</w:t>
      </w:r>
      <w:r>
        <w:t xml:space="preserve">. This could be through ARTF or </w:t>
      </w:r>
      <w:r w:rsidR="003F686B">
        <w:t>through direct support.</w:t>
      </w:r>
    </w:p>
    <w:p w14:paraId="722561FD" w14:textId="77777777" w:rsidR="00766BE0" w:rsidRPr="000F72D5" w:rsidRDefault="00766BE0" w:rsidP="005F63B7">
      <w:pPr>
        <w:pStyle w:val="Numberedpara"/>
      </w:pPr>
      <w:r w:rsidRPr="005F63B7">
        <w:rPr>
          <w:b/>
        </w:rPr>
        <w:t xml:space="preserve">Around </w:t>
      </w:r>
      <w:r w:rsidR="00806119" w:rsidRPr="005F63B7">
        <w:rPr>
          <w:b/>
        </w:rPr>
        <w:t>$2m p</w:t>
      </w:r>
      <w:r w:rsidRPr="005F63B7">
        <w:rPr>
          <w:b/>
        </w:rPr>
        <w:t>er year</w:t>
      </w:r>
      <w:r w:rsidR="00806119" w:rsidRPr="005F63B7">
        <w:rPr>
          <w:b/>
        </w:rPr>
        <w:t xml:space="preserve"> for </w:t>
      </w:r>
      <w:r w:rsidRPr="005F63B7">
        <w:rPr>
          <w:b/>
        </w:rPr>
        <w:t>upgrades to AFMIS.</w:t>
      </w:r>
      <w:r w:rsidRPr="000F72D5">
        <w:t xml:space="preserve"> </w:t>
      </w:r>
      <w:r w:rsidR="00806119" w:rsidRPr="000F72D5">
        <w:t xml:space="preserve">This </w:t>
      </w:r>
      <w:r w:rsidRPr="000F72D5">
        <w:t xml:space="preserve">would be through the ARTF. </w:t>
      </w:r>
    </w:p>
    <w:p w14:paraId="04424AAA" w14:textId="36497188" w:rsidR="00766BE0" w:rsidRDefault="00B81CAF" w:rsidP="005F63B7">
      <w:pPr>
        <w:pStyle w:val="Numberedpara"/>
      </w:pPr>
      <w:r w:rsidRPr="000F72D5">
        <w:rPr>
          <w:b/>
        </w:rPr>
        <w:t>$</w:t>
      </w:r>
      <w:r w:rsidR="00790A89" w:rsidRPr="000F72D5">
        <w:rPr>
          <w:b/>
        </w:rPr>
        <w:t>5m</w:t>
      </w:r>
      <w:r w:rsidR="00806119" w:rsidRPr="000F72D5">
        <w:rPr>
          <w:b/>
        </w:rPr>
        <w:t xml:space="preserve"> </w:t>
      </w:r>
      <w:r w:rsidR="00766BE0" w:rsidRPr="000F72D5">
        <w:rPr>
          <w:b/>
        </w:rPr>
        <w:t xml:space="preserve">per year </w:t>
      </w:r>
      <w:r w:rsidR="00806119" w:rsidRPr="000F72D5">
        <w:rPr>
          <w:b/>
        </w:rPr>
        <w:t>for Customs</w:t>
      </w:r>
      <w:r w:rsidR="00385243" w:rsidRPr="000F72D5">
        <w:rPr>
          <w:b/>
        </w:rPr>
        <w:t xml:space="preserve"> and Revenue</w:t>
      </w:r>
      <w:r w:rsidR="00766BE0" w:rsidRPr="000F72D5">
        <w:rPr>
          <w:b/>
        </w:rPr>
        <w:t>,</w:t>
      </w:r>
      <w:r w:rsidR="00766BE0" w:rsidRPr="000F72D5">
        <w:t xml:space="preserve"> including for upgrades to systems and institutional</w:t>
      </w:r>
      <w:r w:rsidR="00766BE0">
        <w:t xml:space="preserve"> capacity building. </w:t>
      </w:r>
      <w:r w:rsidR="00806119">
        <w:t xml:space="preserve"> </w:t>
      </w:r>
    </w:p>
    <w:p w14:paraId="3F46556B" w14:textId="29284640" w:rsidR="00766BE0" w:rsidRDefault="00766BE0" w:rsidP="005F63B7">
      <w:pPr>
        <w:pStyle w:val="Numberedpara"/>
      </w:pPr>
      <w:r w:rsidRPr="00321E4B">
        <w:rPr>
          <w:b/>
        </w:rPr>
        <w:t>$1m per year</w:t>
      </w:r>
      <w:r w:rsidR="00806119" w:rsidRPr="00321E4B">
        <w:rPr>
          <w:b/>
        </w:rPr>
        <w:t xml:space="preserve"> for 3 years for </w:t>
      </w:r>
      <w:r w:rsidRPr="00321E4B">
        <w:rPr>
          <w:b/>
        </w:rPr>
        <w:t>managing the performance management system.</w:t>
      </w:r>
      <w:r>
        <w:t xml:space="preserve"> </w:t>
      </w:r>
      <w:r w:rsidR="00806119">
        <w:t xml:space="preserve"> </w:t>
      </w:r>
      <w:r w:rsidR="009E47FD">
        <w:t>DFID and the Australian Government through a grant to the Institute of State Effectiveness are currently supporting this initiative</w:t>
      </w:r>
      <w:r w:rsidR="009F2738">
        <w:t>.</w:t>
      </w:r>
    </w:p>
    <w:p w14:paraId="4129B3F9" w14:textId="0EFA0C5B" w:rsidR="00F13FC4" w:rsidRDefault="009F2738" w:rsidP="00F13FC4">
      <w:pPr>
        <w:pStyle w:val="Numberedpara"/>
      </w:pPr>
      <w:r>
        <w:t xml:space="preserve"> </w:t>
      </w:r>
      <w:r w:rsidR="000234C1">
        <w:rPr>
          <w:b/>
        </w:rPr>
        <w:t>The</w:t>
      </w:r>
      <w:r w:rsidRPr="00321E4B">
        <w:rPr>
          <w:b/>
        </w:rPr>
        <w:t xml:space="preserve"> indi</w:t>
      </w:r>
      <w:r w:rsidR="00B81CAF">
        <w:rPr>
          <w:b/>
        </w:rPr>
        <w:t xml:space="preserve">cative costing </w:t>
      </w:r>
      <w:r w:rsidR="000234C1">
        <w:rPr>
          <w:b/>
        </w:rPr>
        <w:t xml:space="preserve">for external support </w:t>
      </w:r>
      <w:r w:rsidR="00B81CAF">
        <w:rPr>
          <w:b/>
        </w:rPr>
        <w:t>totals around $25</w:t>
      </w:r>
      <w:r w:rsidR="000234C1">
        <w:rPr>
          <w:b/>
        </w:rPr>
        <w:t xml:space="preserve"> million per year for</w:t>
      </w:r>
      <w:r w:rsidRPr="00321E4B">
        <w:rPr>
          <w:b/>
        </w:rPr>
        <w:t xml:space="preserve"> the next 5 years.</w:t>
      </w:r>
      <w:r w:rsidR="000234C1">
        <w:rPr>
          <w:b/>
        </w:rPr>
        <w:t xml:space="preserve"> </w:t>
      </w:r>
      <w:r w:rsidR="000234C1" w:rsidRPr="000234C1">
        <w:t xml:space="preserve">This allows for current activities proposed in 2016 and the expansion of the performance management system to include key agencies and line ministries from 2017. </w:t>
      </w:r>
      <w:r w:rsidR="000234C1">
        <w:t xml:space="preserve">As already noted there is already around $80 million in commitments from donors leaving a financing gap of around $45 million. </w:t>
      </w:r>
    </w:p>
    <w:p w14:paraId="51654914" w14:textId="39632ED0" w:rsidR="00695C2E" w:rsidRDefault="00695C2E" w:rsidP="00241943">
      <w:pPr>
        <w:pStyle w:val="TableHeader1"/>
      </w:pPr>
      <w:bookmarkStart w:id="67" w:name="_Ref443820037"/>
      <w:bookmarkStart w:id="68" w:name="_Toc457162639"/>
      <w:r>
        <w:lastRenderedPageBreak/>
        <w:t xml:space="preserve">Medium Term Resourcing </w:t>
      </w:r>
      <w:r w:rsidR="00241943">
        <w:t xml:space="preserve">Allocations </w:t>
      </w:r>
      <w:r w:rsidR="003B7009">
        <w:t xml:space="preserve">– Economic &amp; Function </w:t>
      </w:r>
      <w:r w:rsidR="00241943">
        <w:t>(US$)</w:t>
      </w:r>
      <w:bookmarkEnd w:id="67"/>
      <w:bookmarkEnd w:id="68"/>
    </w:p>
    <w:tbl>
      <w:tblPr>
        <w:tblW w:w="5050" w:type="pct"/>
        <w:tblLayout w:type="fixed"/>
        <w:tblLook w:val="04A0" w:firstRow="1" w:lastRow="0" w:firstColumn="1" w:lastColumn="0" w:noHBand="0" w:noVBand="1"/>
      </w:tblPr>
      <w:tblGrid>
        <w:gridCol w:w="2145"/>
        <w:gridCol w:w="1160"/>
        <w:gridCol w:w="1161"/>
        <w:gridCol w:w="1161"/>
        <w:gridCol w:w="1161"/>
        <w:gridCol w:w="1161"/>
        <w:gridCol w:w="1161"/>
      </w:tblGrid>
      <w:tr w:rsidR="00241943" w:rsidRPr="00241943" w14:paraId="3C093141" w14:textId="77777777" w:rsidTr="005F63B7">
        <w:trPr>
          <w:trHeight w:val="25"/>
        </w:trPr>
        <w:tc>
          <w:tcPr>
            <w:tcW w:w="1178" w:type="pct"/>
            <w:tcBorders>
              <w:top w:val="single" w:sz="4" w:space="0" w:color="4F81BD"/>
              <w:left w:val="nil"/>
              <w:right w:val="nil"/>
            </w:tcBorders>
            <w:shd w:val="clear" w:color="auto" w:fill="75BB6E" w:themeFill="accent4"/>
            <w:noWrap/>
            <w:vAlign w:val="center"/>
            <w:hideMark/>
          </w:tcPr>
          <w:p w14:paraId="264A44E1" w14:textId="77777777" w:rsidR="00241943" w:rsidRPr="00241943" w:rsidRDefault="00241943" w:rsidP="00241943">
            <w:pPr>
              <w:rPr>
                <w:rFonts w:asciiTheme="minorHAnsi" w:eastAsia="Times New Roman" w:hAnsiTheme="minorHAnsi"/>
                <w:b/>
                <w:bCs/>
                <w:sz w:val="14"/>
                <w:szCs w:val="20"/>
                <w:lang w:val="en-GB" w:eastAsia="en-GB"/>
              </w:rPr>
            </w:pPr>
            <w:r w:rsidRPr="00241943">
              <w:rPr>
                <w:rFonts w:asciiTheme="minorHAnsi" w:eastAsia="Times New Roman" w:hAnsiTheme="minorHAnsi"/>
                <w:b/>
                <w:bCs/>
                <w:sz w:val="14"/>
                <w:szCs w:val="20"/>
                <w:lang w:val="en-GB" w:eastAsia="en-GB"/>
              </w:rPr>
              <w:t>Item</w:t>
            </w:r>
          </w:p>
        </w:tc>
        <w:tc>
          <w:tcPr>
            <w:tcW w:w="637" w:type="pct"/>
            <w:tcBorders>
              <w:top w:val="single" w:sz="4" w:space="0" w:color="4F81BD"/>
              <w:left w:val="nil"/>
              <w:right w:val="nil"/>
            </w:tcBorders>
            <w:shd w:val="clear" w:color="auto" w:fill="75BB6E" w:themeFill="accent4"/>
            <w:noWrap/>
            <w:vAlign w:val="center"/>
            <w:hideMark/>
          </w:tcPr>
          <w:p w14:paraId="0A412F41" w14:textId="343E284F" w:rsidR="00241943" w:rsidRPr="00241943" w:rsidRDefault="000F72D5" w:rsidP="00241943">
            <w:pPr>
              <w:jc w:val="center"/>
              <w:rPr>
                <w:rFonts w:asciiTheme="minorHAnsi" w:eastAsia="Times New Roman" w:hAnsiTheme="minorHAnsi"/>
                <w:b/>
                <w:bCs/>
                <w:sz w:val="14"/>
                <w:szCs w:val="20"/>
                <w:lang w:val="en-GB" w:eastAsia="en-GB"/>
              </w:rPr>
            </w:pPr>
            <w:r>
              <w:rPr>
                <w:rFonts w:asciiTheme="minorHAnsi" w:eastAsia="Times New Roman" w:hAnsiTheme="minorHAnsi"/>
                <w:b/>
                <w:bCs/>
                <w:sz w:val="14"/>
                <w:szCs w:val="20"/>
                <w:lang w:val="en-GB" w:eastAsia="en-GB"/>
              </w:rPr>
              <w:t>1395/</w:t>
            </w:r>
            <w:r w:rsidR="00241943" w:rsidRPr="00241943">
              <w:rPr>
                <w:rFonts w:asciiTheme="minorHAnsi" w:eastAsia="Times New Roman" w:hAnsiTheme="minorHAnsi"/>
                <w:b/>
                <w:bCs/>
                <w:sz w:val="14"/>
                <w:szCs w:val="20"/>
                <w:lang w:val="en-GB" w:eastAsia="en-GB"/>
              </w:rPr>
              <w:t>2016</w:t>
            </w:r>
          </w:p>
        </w:tc>
        <w:tc>
          <w:tcPr>
            <w:tcW w:w="637" w:type="pct"/>
            <w:tcBorders>
              <w:top w:val="single" w:sz="4" w:space="0" w:color="4F81BD"/>
              <w:left w:val="nil"/>
              <w:right w:val="nil"/>
            </w:tcBorders>
            <w:shd w:val="clear" w:color="auto" w:fill="75BB6E" w:themeFill="accent4"/>
            <w:noWrap/>
            <w:vAlign w:val="center"/>
            <w:hideMark/>
          </w:tcPr>
          <w:p w14:paraId="01BE76FB" w14:textId="52B8D61C" w:rsidR="00241943" w:rsidRPr="00241943" w:rsidRDefault="000F72D5" w:rsidP="00241943">
            <w:pPr>
              <w:jc w:val="center"/>
              <w:rPr>
                <w:rFonts w:asciiTheme="minorHAnsi" w:eastAsia="Times New Roman" w:hAnsiTheme="minorHAnsi"/>
                <w:b/>
                <w:bCs/>
                <w:sz w:val="14"/>
                <w:szCs w:val="20"/>
                <w:lang w:val="en-GB" w:eastAsia="en-GB"/>
              </w:rPr>
            </w:pPr>
            <w:r>
              <w:rPr>
                <w:rFonts w:asciiTheme="minorHAnsi" w:eastAsia="Times New Roman" w:hAnsiTheme="minorHAnsi"/>
                <w:b/>
                <w:bCs/>
                <w:sz w:val="14"/>
                <w:szCs w:val="20"/>
                <w:lang w:val="en-GB" w:eastAsia="en-GB"/>
              </w:rPr>
              <w:t>1396/</w:t>
            </w:r>
            <w:r w:rsidR="00241943" w:rsidRPr="00241943">
              <w:rPr>
                <w:rFonts w:asciiTheme="minorHAnsi" w:eastAsia="Times New Roman" w:hAnsiTheme="minorHAnsi"/>
                <w:b/>
                <w:bCs/>
                <w:sz w:val="14"/>
                <w:szCs w:val="20"/>
                <w:lang w:val="en-GB" w:eastAsia="en-GB"/>
              </w:rPr>
              <w:t>2017</w:t>
            </w:r>
          </w:p>
        </w:tc>
        <w:tc>
          <w:tcPr>
            <w:tcW w:w="637" w:type="pct"/>
            <w:tcBorders>
              <w:top w:val="single" w:sz="4" w:space="0" w:color="4F81BD"/>
              <w:left w:val="nil"/>
              <w:right w:val="nil"/>
            </w:tcBorders>
            <w:shd w:val="clear" w:color="auto" w:fill="75BB6E" w:themeFill="accent4"/>
            <w:noWrap/>
            <w:vAlign w:val="center"/>
            <w:hideMark/>
          </w:tcPr>
          <w:p w14:paraId="02E72EAA" w14:textId="5C5B7B6E" w:rsidR="00241943" w:rsidRPr="00241943" w:rsidRDefault="000F72D5" w:rsidP="00241943">
            <w:pPr>
              <w:jc w:val="center"/>
              <w:rPr>
                <w:rFonts w:asciiTheme="minorHAnsi" w:eastAsia="Times New Roman" w:hAnsiTheme="minorHAnsi"/>
                <w:b/>
                <w:bCs/>
                <w:sz w:val="14"/>
                <w:szCs w:val="20"/>
                <w:lang w:val="en-GB" w:eastAsia="en-GB"/>
              </w:rPr>
            </w:pPr>
            <w:r>
              <w:rPr>
                <w:rFonts w:asciiTheme="minorHAnsi" w:eastAsia="Times New Roman" w:hAnsiTheme="minorHAnsi"/>
                <w:b/>
                <w:bCs/>
                <w:sz w:val="14"/>
                <w:szCs w:val="20"/>
                <w:lang w:val="en-GB" w:eastAsia="en-GB"/>
              </w:rPr>
              <w:t>1397/</w:t>
            </w:r>
            <w:r w:rsidR="00241943" w:rsidRPr="00241943">
              <w:rPr>
                <w:rFonts w:asciiTheme="minorHAnsi" w:eastAsia="Times New Roman" w:hAnsiTheme="minorHAnsi"/>
                <w:b/>
                <w:bCs/>
                <w:sz w:val="14"/>
                <w:szCs w:val="20"/>
                <w:lang w:val="en-GB" w:eastAsia="en-GB"/>
              </w:rPr>
              <w:t>2018</w:t>
            </w:r>
          </w:p>
        </w:tc>
        <w:tc>
          <w:tcPr>
            <w:tcW w:w="637" w:type="pct"/>
            <w:tcBorders>
              <w:top w:val="single" w:sz="4" w:space="0" w:color="4F81BD"/>
              <w:left w:val="nil"/>
              <w:right w:val="nil"/>
            </w:tcBorders>
            <w:shd w:val="clear" w:color="auto" w:fill="75BB6E" w:themeFill="accent4"/>
            <w:noWrap/>
            <w:vAlign w:val="center"/>
            <w:hideMark/>
          </w:tcPr>
          <w:p w14:paraId="79F5DB11" w14:textId="6BDFD411" w:rsidR="00241943" w:rsidRPr="00241943" w:rsidRDefault="000F72D5" w:rsidP="00241943">
            <w:pPr>
              <w:jc w:val="center"/>
              <w:rPr>
                <w:rFonts w:ascii="Verdana" w:eastAsia="Times New Roman" w:hAnsi="Verdana"/>
                <w:b/>
                <w:bCs/>
                <w:sz w:val="14"/>
                <w:szCs w:val="20"/>
                <w:lang w:val="en-GB" w:eastAsia="en-GB"/>
              </w:rPr>
            </w:pPr>
            <w:r>
              <w:rPr>
                <w:rFonts w:ascii="Verdana" w:eastAsia="Times New Roman" w:hAnsi="Verdana"/>
                <w:b/>
                <w:bCs/>
                <w:sz w:val="14"/>
                <w:szCs w:val="20"/>
                <w:lang w:val="en-GB" w:eastAsia="en-GB"/>
              </w:rPr>
              <w:t>1398/</w:t>
            </w:r>
            <w:r w:rsidR="00241943" w:rsidRPr="00241943">
              <w:rPr>
                <w:rFonts w:ascii="Verdana" w:eastAsia="Times New Roman" w:hAnsi="Verdana"/>
                <w:b/>
                <w:bCs/>
                <w:sz w:val="14"/>
                <w:szCs w:val="20"/>
                <w:lang w:val="en-GB" w:eastAsia="en-GB"/>
              </w:rPr>
              <w:t>2019</w:t>
            </w:r>
          </w:p>
        </w:tc>
        <w:tc>
          <w:tcPr>
            <w:tcW w:w="637" w:type="pct"/>
            <w:tcBorders>
              <w:top w:val="single" w:sz="4" w:space="0" w:color="4F81BD"/>
              <w:left w:val="nil"/>
              <w:right w:val="nil"/>
            </w:tcBorders>
            <w:shd w:val="clear" w:color="auto" w:fill="75BB6E" w:themeFill="accent4"/>
            <w:noWrap/>
            <w:vAlign w:val="center"/>
            <w:hideMark/>
          </w:tcPr>
          <w:p w14:paraId="67E20B90" w14:textId="4B894D29" w:rsidR="00241943" w:rsidRPr="00241943" w:rsidRDefault="000F72D5" w:rsidP="00241943">
            <w:pPr>
              <w:jc w:val="center"/>
              <w:rPr>
                <w:rFonts w:ascii="Verdana" w:eastAsia="Times New Roman" w:hAnsi="Verdana"/>
                <w:b/>
                <w:bCs/>
                <w:sz w:val="14"/>
                <w:szCs w:val="20"/>
                <w:lang w:val="en-GB" w:eastAsia="en-GB"/>
              </w:rPr>
            </w:pPr>
            <w:r>
              <w:rPr>
                <w:rFonts w:ascii="Verdana" w:eastAsia="Times New Roman" w:hAnsi="Verdana"/>
                <w:b/>
                <w:bCs/>
                <w:sz w:val="14"/>
                <w:szCs w:val="20"/>
                <w:lang w:val="en-GB" w:eastAsia="en-GB"/>
              </w:rPr>
              <w:t>1399/</w:t>
            </w:r>
            <w:r w:rsidR="00241943" w:rsidRPr="00241943">
              <w:rPr>
                <w:rFonts w:ascii="Verdana" w:eastAsia="Times New Roman" w:hAnsi="Verdana"/>
                <w:b/>
                <w:bCs/>
                <w:sz w:val="14"/>
                <w:szCs w:val="20"/>
                <w:lang w:val="en-GB" w:eastAsia="en-GB"/>
              </w:rPr>
              <w:t>2020</w:t>
            </w:r>
          </w:p>
        </w:tc>
        <w:tc>
          <w:tcPr>
            <w:tcW w:w="637" w:type="pct"/>
            <w:tcBorders>
              <w:top w:val="single" w:sz="4" w:space="0" w:color="4F81BD"/>
              <w:left w:val="nil"/>
              <w:right w:val="nil"/>
            </w:tcBorders>
            <w:shd w:val="clear" w:color="auto" w:fill="75BB6E" w:themeFill="accent4"/>
            <w:noWrap/>
            <w:vAlign w:val="center"/>
            <w:hideMark/>
          </w:tcPr>
          <w:p w14:paraId="65E27757" w14:textId="77777777" w:rsidR="00241943" w:rsidRPr="00241943" w:rsidRDefault="00241943" w:rsidP="00241943">
            <w:pPr>
              <w:jc w:val="center"/>
              <w:rPr>
                <w:rFonts w:ascii="Verdana" w:eastAsia="Times New Roman" w:hAnsi="Verdana"/>
                <w:b/>
                <w:bCs/>
                <w:sz w:val="14"/>
                <w:szCs w:val="20"/>
                <w:lang w:val="en-GB" w:eastAsia="en-GB"/>
              </w:rPr>
            </w:pPr>
            <w:r w:rsidRPr="00241943">
              <w:rPr>
                <w:rFonts w:ascii="Verdana" w:eastAsia="Times New Roman" w:hAnsi="Verdana"/>
                <w:b/>
                <w:bCs/>
                <w:sz w:val="14"/>
                <w:szCs w:val="20"/>
                <w:lang w:val="en-GB" w:eastAsia="en-GB"/>
              </w:rPr>
              <w:t>Total</w:t>
            </w:r>
          </w:p>
        </w:tc>
      </w:tr>
      <w:tr w:rsidR="00241943" w:rsidRPr="00241943" w14:paraId="282E6960" w14:textId="77777777" w:rsidTr="005F63B7">
        <w:trPr>
          <w:trHeight w:val="25"/>
        </w:trPr>
        <w:tc>
          <w:tcPr>
            <w:tcW w:w="1178" w:type="pct"/>
            <w:shd w:val="clear" w:color="auto" w:fill="auto"/>
            <w:vAlign w:val="center"/>
            <w:hideMark/>
          </w:tcPr>
          <w:p w14:paraId="47B34CA0" w14:textId="5ACE246F" w:rsidR="00241943" w:rsidRPr="00241943" w:rsidRDefault="00AA708F" w:rsidP="00241943">
            <w:pPr>
              <w:rPr>
                <w:rFonts w:asciiTheme="minorHAnsi" w:eastAsia="Times New Roman" w:hAnsiTheme="minorHAnsi"/>
                <w:b/>
                <w:bCs/>
                <w:sz w:val="14"/>
                <w:lang w:val="en-GB" w:eastAsia="en-GB"/>
              </w:rPr>
            </w:pPr>
            <w:r>
              <w:rPr>
                <w:rFonts w:asciiTheme="minorHAnsi" w:eastAsia="Times New Roman" w:hAnsiTheme="minorHAnsi"/>
                <w:b/>
                <w:bCs/>
                <w:sz w:val="14"/>
                <w:lang w:val="en-GB" w:eastAsia="en-GB"/>
              </w:rPr>
              <w:t>Emp. Compensation</w:t>
            </w:r>
            <w:r w:rsidR="00241943" w:rsidRPr="00241943">
              <w:rPr>
                <w:rFonts w:asciiTheme="minorHAnsi" w:eastAsia="Times New Roman" w:hAnsiTheme="minorHAnsi"/>
                <w:b/>
                <w:bCs/>
                <w:sz w:val="14"/>
                <w:lang w:val="en-GB" w:eastAsia="en-GB"/>
              </w:rPr>
              <w:t xml:space="preserve"> </w:t>
            </w:r>
          </w:p>
        </w:tc>
        <w:tc>
          <w:tcPr>
            <w:tcW w:w="637" w:type="pct"/>
            <w:shd w:val="clear" w:color="auto" w:fill="auto"/>
            <w:noWrap/>
            <w:vAlign w:val="center"/>
            <w:hideMark/>
          </w:tcPr>
          <w:p w14:paraId="448F70F0" w14:textId="183C3247"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600,000</w:t>
            </w:r>
          </w:p>
        </w:tc>
        <w:tc>
          <w:tcPr>
            <w:tcW w:w="637" w:type="pct"/>
            <w:shd w:val="clear" w:color="auto" w:fill="auto"/>
            <w:noWrap/>
            <w:vAlign w:val="center"/>
            <w:hideMark/>
          </w:tcPr>
          <w:p w14:paraId="4DEC86B8" w14:textId="631F8D18"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848,000</w:t>
            </w:r>
          </w:p>
        </w:tc>
        <w:tc>
          <w:tcPr>
            <w:tcW w:w="637" w:type="pct"/>
            <w:shd w:val="clear" w:color="auto" w:fill="auto"/>
            <w:noWrap/>
            <w:vAlign w:val="center"/>
            <w:hideMark/>
          </w:tcPr>
          <w:p w14:paraId="05F93164" w14:textId="72F0B4DF"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1,123,600</w:t>
            </w:r>
          </w:p>
        </w:tc>
        <w:tc>
          <w:tcPr>
            <w:tcW w:w="637" w:type="pct"/>
            <w:shd w:val="clear" w:color="auto" w:fill="auto"/>
            <w:noWrap/>
            <w:vAlign w:val="center"/>
            <w:hideMark/>
          </w:tcPr>
          <w:p w14:paraId="43E8760F" w14:textId="477B939B"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1,191,016</w:t>
            </w:r>
          </w:p>
        </w:tc>
        <w:tc>
          <w:tcPr>
            <w:tcW w:w="637" w:type="pct"/>
            <w:shd w:val="clear" w:color="auto" w:fill="auto"/>
            <w:noWrap/>
            <w:vAlign w:val="center"/>
            <w:hideMark/>
          </w:tcPr>
          <w:p w14:paraId="48060826" w14:textId="23FD64E1"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1,262,477</w:t>
            </w:r>
          </w:p>
        </w:tc>
        <w:tc>
          <w:tcPr>
            <w:tcW w:w="637" w:type="pct"/>
            <w:tcBorders>
              <w:right w:val="nil"/>
            </w:tcBorders>
            <w:shd w:val="clear" w:color="auto" w:fill="auto"/>
            <w:noWrap/>
            <w:vAlign w:val="center"/>
            <w:hideMark/>
          </w:tcPr>
          <w:p w14:paraId="2A736675" w14:textId="32B39250"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5,025,093</w:t>
            </w:r>
          </w:p>
        </w:tc>
      </w:tr>
      <w:tr w:rsidR="00241943" w:rsidRPr="00241943" w14:paraId="457AD0FA" w14:textId="77777777" w:rsidTr="005F63B7">
        <w:trPr>
          <w:trHeight w:val="25"/>
        </w:trPr>
        <w:tc>
          <w:tcPr>
            <w:tcW w:w="1178" w:type="pct"/>
            <w:shd w:val="clear" w:color="auto" w:fill="auto"/>
            <w:vAlign w:val="center"/>
            <w:hideMark/>
          </w:tcPr>
          <w:p w14:paraId="178D5DAC" w14:textId="4405BA97" w:rsidR="00241943" w:rsidRPr="00241943" w:rsidRDefault="00241943" w:rsidP="00241943">
            <w:pPr>
              <w:rPr>
                <w:rFonts w:asciiTheme="minorHAnsi" w:eastAsia="Times New Roman" w:hAnsiTheme="minorHAnsi"/>
                <w:b/>
                <w:bCs/>
                <w:sz w:val="14"/>
                <w:lang w:val="en-GB" w:eastAsia="en-GB"/>
              </w:rPr>
            </w:pPr>
            <w:r w:rsidRPr="00241943">
              <w:rPr>
                <w:rFonts w:asciiTheme="minorHAnsi" w:eastAsia="Times New Roman" w:hAnsiTheme="minorHAnsi"/>
                <w:b/>
                <w:bCs/>
                <w:sz w:val="14"/>
                <w:lang w:val="en-GB" w:eastAsia="en-GB"/>
              </w:rPr>
              <w:t xml:space="preserve">TA Compensation </w:t>
            </w:r>
          </w:p>
        </w:tc>
        <w:tc>
          <w:tcPr>
            <w:tcW w:w="637" w:type="pct"/>
            <w:shd w:val="clear" w:color="auto" w:fill="auto"/>
            <w:noWrap/>
            <w:vAlign w:val="center"/>
            <w:hideMark/>
          </w:tcPr>
          <w:p w14:paraId="254F4223" w14:textId="5044CD9D"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6,248,500</w:t>
            </w:r>
          </w:p>
        </w:tc>
        <w:tc>
          <w:tcPr>
            <w:tcW w:w="637" w:type="pct"/>
            <w:shd w:val="clear" w:color="auto" w:fill="auto"/>
            <w:noWrap/>
            <w:vAlign w:val="center"/>
            <w:hideMark/>
          </w:tcPr>
          <w:p w14:paraId="6CA90A76" w14:textId="2EE4D567"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8,831,213</w:t>
            </w:r>
          </w:p>
        </w:tc>
        <w:tc>
          <w:tcPr>
            <w:tcW w:w="637" w:type="pct"/>
            <w:shd w:val="clear" w:color="auto" w:fill="auto"/>
            <w:noWrap/>
            <w:vAlign w:val="center"/>
            <w:hideMark/>
          </w:tcPr>
          <w:p w14:paraId="2C03313A" w14:textId="3AD34C2A"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11,701,358</w:t>
            </w:r>
          </w:p>
        </w:tc>
        <w:tc>
          <w:tcPr>
            <w:tcW w:w="637" w:type="pct"/>
            <w:shd w:val="clear" w:color="auto" w:fill="auto"/>
            <w:noWrap/>
            <w:vAlign w:val="center"/>
            <w:hideMark/>
          </w:tcPr>
          <w:p w14:paraId="11844854" w14:textId="4C12B7E9"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12,403,439</w:t>
            </w:r>
          </w:p>
        </w:tc>
        <w:tc>
          <w:tcPr>
            <w:tcW w:w="637" w:type="pct"/>
            <w:shd w:val="clear" w:color="auto" w:fill="auto"/>
            <w:noWrap/>
            <w:vAlign w:val="center"/>
            <w:hideMark/>
          </w:tcPr>
          <w:p w14:paraId="1AD77238" w14:textId="79E4D0BA"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13,147,645</w:t>
            </w:r>
          </w:p>
        </w:tc>
        <w:tc>
          <w:tcPr>
            <w:tcW w:w="637" w:type="pct"/>
            <w:tcBorders>
              <w:right w:val="nil"/>
            </w:tcBorders>
            <w:shd w:val="clear" w:color="auto" w:fill="auto"/>
            <w:noWrap/>
            <w:vAlign w:val="center"/>
            <w:hideMark/>
          </w:tcPr>
          <w:p w14:paraId="56458E8E" w14:textId="073F7452"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52,332,156</w:t>
            </w:r>
          </w:p>
        </w:tc>
      </w:tr>
      <w:tr w:rsidR="00241943" w:rsidRPr="00241943" w14:paraId="169F310A" w14:textId="77777777" w:rsidTr="005F63B7">
        <w:trPr>
          <w:trHeight w:val="25"/>
        </w:trPr>
        <w:tc>
          <w:tcPr>
            <w:tcW w:w="1178" w:type="pct"/>
            <w:shd w:val="clear" w:color="auto" w:fill="auto"/>
            <w:vAlign w:val="center"/>
            <w:hideMark/>
          </w:tcPr>
          <w:p w14:paraId="13AFD62C" w14:textId="4B83B9A0" w:rsidR="00241943" w:rsidRPr="00241943" w:rsidRDefault="00241943" w:rsidP="00241943">
            <w:pPr>
              <w:rPr>
                <w:rFonts w:asciiTheme="minorHAnsi" w:eastAsia="Times New Roman" w:hAnsiTheme="minorHAnsi"/>
                <w:b/>
                <w:bCs/>
                <w:sz w:val="14"/>
                <w:lang w:val="en-GB" w:eastAsia="en-GB"/>
              </w:rPr>
            </w:pPr>
            <w:r w:rsidRPr="00241943">
              <w:rPr>
                <w:rFonts w:asciiTheme="minorHAnsi" w:eastAsia="Times New Roman" w:hAnsiTheme="minorHAnsi"/>
                <w:b/>
                <w:bCs/>
                <w:sz w:val="14"/>
                <w:lang w:val="en-GB" w:eastAsia="en-GB"/>
              </w:rPr>
              <w:t>G</w:t>
            </w:r>
            <w:r w:rsidR="00AA708F">
              <w:rPr>
                <w:rFonts w:asciiTheme="minorHAnsi" w:eastAsia="Times New Roman" w:hAnsiTheme="minorHAnsi"/>
                <w:b/>
                <w:bCs/>
                <w:sz w:val="14"/>
                <w:lang w:val="en-GB" w:eastAsia="en-GB"/>
              </w:rPr>
              <w:t>oods &amp;Services</w:t>
            </w:r>
          </w:p>
        </w:tc>
        <w:tc>
          <w:tcPr>
            <w:tcW w:w="637" w:type="pct"/>
            <w:shd w:val="clear" w:color="auto" w:fill="auto"/>
            <w:noWrap/>
            <w:vAlign w:val="center"/>
            <w:hideMark/>
          </w:tcPr>
          <w:p w14:paraId="5BB8172C" w14:textId="3FE2684B"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8,748,260</w:t>
            </w:r>
          </w:p>
        </w:tc>
        <w:tc>
          <w:tcPr>
            <w:tcW w:w="637" w:type="pct"/>
            <w:shd w:val="clear" w:color="auto" w:fill="auto"/>
            <w:noWrap/>
            <w:vAlign w:val="center"/>
            <w:hideMark/>
          </w:tcPr>
          <w:p w14:paraId="405DCDDF" w14:textId="30AD7944"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12,364,207</w:t>
            </w:r>
          </w:p>
        </w:tc>
        <w:tc>
          <w:tcPr>
            <w:tcW w:w="637" w:type="pct"/>
            <w:shd w:val="clear" w:color="auto" w:fill="auto"/>
            <w:noWrap/>
            <w:vAlign w:val="center"/>
            <w:hideMark/>
          </w:tcPr>
          <w:p w14:paraId="69AFCA83" w14:textId="39836FAE"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16,382,575</w:t>
            </w:r>
          </w:p>
        </w:tc>
        <w:tc>
          <w:tcPr>
            <w:tcW w:w="637" w:type="pct"/>
            <w:shd w:val="clear" w:color="auto" w:fill="auto"/>
            <w:noWrap/>
            <w:vAlign w:val="center"/>
            <w:hideMark/>
          </w:tcPr>
          <w:p w14:paraId="17F8F004" w14:textId="485BCD41"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17,365,529</w:t>
            </w:r>
          </w:p>
        </w:tc>
        <w:tc>
          <w:tcPr>
            <w:tcW w:w="637" w:type="pct"/>
            <w:shd w:val="clear" w:color="auto" w:fill="auto"/>
            <w:noWrap/>
            <w:vAlign w:val="center"/>
            <w:hideMark/>
          </w:tcPr>
          <w:p w14:paraId="441C768F" w14:textId="0DD60EC9"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18,407,461</w:t>
            </w:r>
          </w:p>
        </w:tc>
        <w:tc>
          <w:tcPr>
            <w:tcW w:w="637" w:type="pct"/>
            <w:tcBorders>
              <w:right w:val="nil"/>
            </w:tcBorders>
            <w:shd w:val="clear" w:color="auto" w:fill="auto"/>
            <w:noWrap/>
            <w:vAlign w:val="center"/>
            <w:hideMark/>
          </w:tcPr>
          <w:p w14:paraId="12FD3321" w14:textId="3A5A9F27"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73,268,033</w:t>
            </w:r>
          </w:p>
        </w:tc>
      </w:tr>
      <w:tr w:rsidR="00241943" w:rsidRPr="00241943" w14:paraId="32F86AD2" w14:textId="77777777" w:rsidTr="005F63B7">
        <w:trPr>
          <w:trHeight w:val="25"/>
        </w:trPr>
        <w:tc>
          <w:tcPr>
            <w:tcW w:w="1178" w:type="pct"/>
            <w:tcBorders>
              <w:bottom w:val="single" w:sz="4" w:space="0" w:color="auto"/>
            </w:tcBorders>
            <w:shd w:val="clear" w:color="auto" w:fill="auto"/>
            <w:vAlign w:val="center"/>
            <w:hideMark/>
          </w:tcPr>
          <w:p w14:paraId="7428FB03" w14:textId="221877F3" w:rsidR="00241943" w:rsidRPr="00241943" w:rsidRDefault="00AA708F" w:rsidP="00241943">
            <w:pPr>
              <w:rPr>
                <w:rFonts w:asciiTheme="minorHAnsi" w:eastAsia="Times New Roman" w:hAnsiTheme="minorHAnsi"/>
                <w:b/>
                <w:bCs/>
                <w:sz w:val="14"/>
                <w:lang w:val="en-GB" w:eastAsia="en-GB"/>
              </w:rPr>
            </w:pPr>
            <w:r>
              <w:rPr>
                <w:rFonts w:asciiTheme="minorHAnsi" w:eastAsia="Times New Roman" w:hAnsiTheme="minorHAnsi"/>
                <w:b/>
                <w:bCs/>
                <w:sz w:val="14"/>
                <w:lang w:val="en-GB" w:eastAsia="en-GB"/>
              </w:rPr>
              <w:t>Capital</w:t>
            </w:r>
          </w:p>
        </w:tc>
        <w:tc>
          <w:tcPr>
            <w:tcW w:w="637" w:type="pct"/>
            <w:tcBorders>
              <w:bottom w:val="single" w:sz="4" w:space="0" w:color="auto"/>
            </w:tcBorders>
            <w:shd w:val="clear" w:color="auto" w:fill="auto"/>
            <w:noWrap/>
            <w:vAlign w:val="center"/>
            <w:hideMark/>
          </w:tcPr>
          <w:p w14:paraId="63328CA3" w14:textId="730ACBF4"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4,389,940</w:t>
            </w:r>
          </w:p>
        </w:tc>
        <w:tc>
          <w:tcPr>
            <w:tcW w:w="637" w:type="pct"/>
            <w:tcBorders>
              <w:bottom w:val="single" w:sz="4" w:space="0" w:color="auto"/>
            </w:tcBorders>
            <w:shd w:val="clear" w:color="auto" w:fill="auto"/>
            <w:noWrap/>
            <w:vAlign w:val="center"/>
            <w:hideMark/>
          </w:tcPr>
          <w:p w14:paraId="254A2E72" w14:textId="1D092EB7"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6,204,449</w:t>
            </w:r>
          </w:p>
        </w:tc>
        <w:tc>
          <w:tcPr>
            <w:tcW w:w="637" w:type="pct"/>
            <w:tcBorders>
              <w:bottom w:val="single" w:sz="4" w:space="0" w:color="auto"/>
            </w:tcBorders>
            <w:shd w:val="clear" w:color="auto" w:fill="auto"/>
            <w:noWrap/>
            <w:vAlign w:val="center"/>
            <w:hideMark/>
          </w:tcPr>
          <w:p w14:paraId="29E48E1A" w14:textId="5819A0FC"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8,220,894</w:t>
            </w:r>
          </w:p>
        </w:tc>
        <w:tc>
          <w:tcPr>
            <w:tcW w:w="637" w:type="pct"/>
            <w:tcBorders>
              <w:bottom w:val="single" w:sz="4" w:space="0" w:color="auto"/>
            </w:tcBorders>
            <w:shd w:val="clear" w:color="auto" w:fill="auto"/>
            <w:noWrap/>
            <w:vAlign w:val="center"/>
            <w:hideMark/>
          </w:tcPr>
          <w:p w14:paraId="402C483F" w14:textId="727A110E"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8,714,148</w:t>
            </w:r>
          </w:p>
        </w:tc>
        <w:tc>
          <w:tcPr>
            <w:tcW w:w="637" w:type="pct"/>
            <w:tcBorders>
              <w:bottom w:val="single" w:sz="4" w:space="0" w:color="auto"/>
            </w:tcBorders>
            <w:shd w:val="clear" w:color="auto" w:fill="auto"/>
            <w:noWrap/>
            <w:vAlign w:val="center"/>
            <w:hideMark/>
          </w:tcPr>
          <w:p w14:paraId="7DDC79B1" w14:textId="17662818"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9,236,997</w:t>
            </w:r>
          </w:p>
        </w:tc>
        <w:tc>
          <w:tcPr>
            <w:tcW w:w="637" w:type="pct"/>
            <w:tcBorders>
              <w:bottom w:val="single" w:sz="4" w:space="0" w:color="auto"/>
              <w:right w:val="nil"/>
            </w:tcBorders>
            <w:shd w:val="clear" w:color="auto" w:fill="auto"/>
            <w:noWrap/>
            <w:vAlign w:val="center"/>
            <w:hideMark/>
          </w:tcPr>
          <w:p w14:paraId="0E356F38" w14:textId="7940DC55"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36,766,428</w:t>
            </w:r>
          </w:p>
        </w:tc>
      </w:tr>
      <w:tr w:rsidR="00241943" w:rsidRPr="00241943" w14:paraId="6FCF6566" w14:textId="77777777" w:rsidTr="005F63B7">
        <w:trPr>
          <w:trHeight w:val="25"/>
        </w:trPr>
        <w:tc>
          <w:tcPr>
            <w:tcW w:w="1178" w:type="pct"/>
            <w:tcBorders>
              <w:top w:val="single" w:sz="4" w:space="0" w:color="auto"/>
              <w:bottom w:val="single" w:sz="4" w:space="0" w:color="auto"/>
            </w:tcBorders>
            <w:shd w:val="clear" w:color="auto" w:fill="auto"/>
            <w:vAlign w:val="center"/>
            <w:hideMark/>
          </w:tcPr>
          <w:p w14:paraId="7F26CBF5" w14:textId="44D834CA" w:rsidR="00241943" w:rsidRPr="00241943" w:rsidRDefault="00241943" w:rsidP="00241943">
            <w:pPr>
              <w:rPr>
                <w:rFonts w:asciiTheme="minorHAnsi" w:eastAsia="Times New Roman" w:hAnsiTheme="minorHAnsi"/>
                <w:b/>
                <w:bCs/>
                <w:sz w:val="14"/>
                <w:lang w:val="en-GB" w:eastAsia="en-GB"/>
              </w:rPr>
            </w:pPr>
            <w:r w:rsidRPr="00241943">
              <w:rPr>
                <w:rFonts w:asciiTheme="minorHAnsi" w:eastAsia="Times New Roman" w:hAnsiTheme="minorHAnsi"/>
                <w:b/>
                <w:bCs/>
                <w:sz w:val="14"/>
                <w:lang w:val="en-GB" w:eastAsia="en-GB"/>
              </w:rPr>
              <w:t xml:space="preserve">Unallocated  </w:t>
            </w:r>
          </w:p>
        </w:tc>
        <w:tc>
          <w:tcPr>
            <w:tcW w:w="637" w:type="pct"/>
            <w:tcBorders>
              <w:top w:val="single" w:sz="4" w:space="0" w:color="auto"/>
              <w:bottom w:val="single" w:sz="4" w:space="0" w:color="auto"/>
            </w:tcBorders>
            <w:shd w:val="clear" w:color="auto" w:fill="auto"/>
            <w:noWrap/>
            <w:vAlign w:val="center"/>
            <w:hideMark/>
          </w:tcPr>
          <w:p w14:paraId="0E6B75C3" w14:textId="77777777" w:rsidR="00241943" w:rsidRPr="00241943" w:rsidRDefault="00241943" w:rsidP="00241943">
            <w:pPr>
              <w:jc w:val="right"/>
              <w:rPr>
                <w:rFonts w:asciiTheme="minorHAnsi" w:eastAsia="Times New Roman" w:hAnsiTheme="minorHAnsi"/>
                <w:b/>
                <w:bCs/>
                <w:sz w:val="14"/>
                <w:lang w:val="en-GB" w:eastAsia="en-GB"/>
              </w:rPr>
            </w:pPr>
          </w:p>
        </w:tc>
        <w:tc>
          <w:tcPr>
            <w:tcW w:w="637" w:type="pct"/>
            <w:tcBorders>
              <w:top w:val="single" w:sz="4" w:space="0" w:color="auto"/>
              <w:bottom w:val="single" w:sz="4" w:space="0" w:color="auto"/>
            </w:tcBorders>
            <w:shd w:val="clear" w:color="auto" w:fill="auto"/>
            <w:noWrap/>
            <w:vAlign w:val="center"/>
            <w:hideMark/>
          </w:tcPr>
          <w:p w14:paraId="4B9161C7" w14:textId="5F06290E"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2,968,000</w:t>
            </w:r>
          </w:p>
        </w:tc>
        <w:tc>
          <w:tcPr>
            <w:tcW w:w="637" w:type="pct"/>
            <w:tcBorders>
              <w:top w:val="single" w:sz="4" w:space="0" w:color="auto"/>
              <w:bottom w:val="single" w:sz="4" w:space="0" w:color="auto"/>
            </w:tcBorders>
            <w:shd w:val="clear" w:color="auto" w:fill="auto"/>
            <w:noWrap/>
            <w:vAlign w:val="center"/>
            <w:hideMark/>
          </w:tcPr>
          <w:p w14:paraId="2360E204" w14:textId="3C8C3053"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6,741,600</w:t>
            </w:r>
          </w:p>
        </w:tc>
        <w:tc>
          <w:tcPr>
            <w:tcW w:w="637" w:type="pct"/>
            <w:tcBorders>
              <w:top w:val="single" w:sz="4" w:space="0" w:color="auto"/>
              <w:bottom w:val="single" w:sz="4" w:space="0" w:color="auto"/>
            </w:tcBorders>
            <w:shd w:val="clear" w:color="auto" w:fill="auto"/>
            <w:noWrap/>
            <w:vAlign w:val="center"/>
            <w:hideMark/>
          </w:tcPr>
          <w:p w14:paraId="56CB7B4F" w14:textId="37F8920F"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8,575,315</w:t>
            </w:r>
          </w:p>
        </w:tc>
        <w:tc>
          <w:tcPr>
            <w:tcW w:w="637" w:type="pct"/>
            <w:tcBorders>
              <w:top w:val="single" w:sz="4" w:space="0" w:color="auto"/>
              <w:bottom w:val="single" w:sz="4" w:space="0" w:color="auto"/>
            </w:tcBorders>
            <w:shd w:val="clear" w:color="auto" w:fill="auto"/>
            <w:noWrap/>
            <w:vAlign w:val="center"/>
            <w:hideMark/>
          </w:tcPr>
          <w:p w14:paraId="574666F4" w14:textId="1875F65E"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10,604,806</w:t>
            </w:r>
          </w:p>
        </w:tc>
        <w:tc>
          <w:tcPr>
            <w:tcW w:w="637" w:type="pct"/>
            <w:tcBorders>
              <w:top w:val="single" w:sz="4" w:space="0" w:color="auto"/>
              <w:bottom w:val="single" w:sz="4" w:space="0" w:color="auto"/>
              <w:right w:val="nil"/>
            </w:tcBorders>
            <w:shd w:val="clear" w:color="auto" w:fill="auto"/>
            <w:noWrap/>
            <w:vAlign w:val="center"/>
            <w:hideMark/>
          </w:tcPr>
          <w:p w14:paraId="42E89600" w14:textId="58352A43"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28,889,722</w:t>
            </w:r>
          </w:p>
        </w:tc>
      </w:tr>
      <w:tr w:rsidR="00241943" w:rsidRPr="00241943" w14:paraId="6DAC26AA" w14:textId="77777777" w:rsidTr="005F63B7">
        <w:trPr>
          <w:trHeight w:val="25"/>
        </w:trPr>
        <w:tc>
          <w:tcPr>
            <w:tcW w:w="1178" w:type="pct"/>
            <w:tcBorders>
              <w:top w:val="single" w:sz="4" w:space="0" w:color="auto"/>
              <w:bottom w:val="single" w:sz="4" w:space="0" w:color="auto"/>
            </w:tcBorders>
            <w:shd w:val="clear" w:color="auto" w:fill="E3F1E1" w:themeFill="accent4" w:themeFillTint="33"/>
            <w:vAlign w:val="center"/>
            <w:hideMark/>
          </w:tcPr>
          <w:p w14:paraId="0271ED60" w14:textId="1F716793" w:rsidR="00241943" w:rsidRPr="00241943" w:rsidRDefault="00241943" w:rsidP="00241943">
            <w:pPr>
              <w:rPr>
                <w:rFonts w:asciiTheme="minorHAnsi" w:eastAsia="Times New Roman" w:hAnsiTheme="minorHAnsi"/>
                <w:b/>
                <w:bCs/>
                <w:sz w:val="14"/>
                <w:lang w:val="en-GB" w:eastAsia="en-GB"/>
              </w:rPr>
            </w:pPr>
            <w:r w:rsidRPr="00241943">
              <w:rPr>
                <w:rFonts w:asciiTheme="minorHAnsi" w:eastAsia="Times New Roman" w:hAnsiTheme="minorHAnsi"/>
                <w:b/>
                <w:bCs/>
                <w:sz w:val="14"/>
                <w:lang w:val="en-GB" w:eastAsia="en-GB"/>
              </w:rPr>
              <w:t xml:space="preserve">Total Excl. Unallocated </w:t>
            </w:r>
          </w:p>
        </w:tc>
        <w:tc>
          <w:tcPr>
            <w:tcW w:w="637" w:type="pct"/>
            <w:tcBorders>
              <w:top w:val="single" w:sz="4" w:space="0" w:color="auto"/>
              <w:bottom w:val="single" w:sz="4" w:space="0" w:color="auto"/>
            </w:tcBorders>
            <w:shd w:val="clear" w:color="auto" w:fill="E3F1E1" w:themeFill="accent4" w:themeFillTint="33"/>
            <w:noWrap/>
            <w:vAlign w:val="center"/>
            <w:hideMark/>
          </w:tcPr>
          <w:p w14:paraId="67AC1DF7" w14:textId="68862725"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19,986,700</w:t>
            </w:r>
          </w:p>
        </w:tc>
        <w:tc>
          <w:tcPr>
            <w:tcW w:w="637" w:type="pct"/>
            <w:tcBorders>
              <w:top w:val="single" w:sz="4" w:space="0" w:color="auto"/>
              <w:bottom w:val="single" w:sz="4" w:space="0" w:color="auto"/>
            </w:tcBorders>
            <w:shd w:val="clear" w:color="auto" w:fill="E3F1E1" w:themeFill="accent4" w:themeFillTint="33"/>
            <w:noWrap/>
            <w:vAlign w:val="center"/>
            <w:hideMark/>
          </w:tcPr>
          <w:p w14:paraId="51067F5F" w14:textId="1032FBF7"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28,247,869</w:t>
            </w:r>
          </w:p>
        </w:tc>
        <w:tc>
          <w:tcPr>
            <w:tcW w:w="637" w:type="pct"/>
            <w:tcBorders>
              <w:top w:val="single" w:sz="4" w:space="0" w:color="auto"/>
              <w:bottom w:val="single" w:sz="4" w:space="0" w:color="auto"/>
            </w:tcBorders>
            <w:shd w:val="clear" w:color="auto" w:fill="E3F1E1" w:themeFill="accent4" w:themeFillTint="33"/>
            <w:noWrap/>
            <w:vAlign w:val="center"/>
            <w:hideMark/>
          </w:tcPr>
          <w:p w14:paraId="01514CE9" w14:textId="30FAB3D2"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37,428,427</w:t>
            </w:r>
          </w:p>
        </w:tc>
        <w:tc>
          <w:tcPr>
            <w:tcW w:w="637" w:type="pct"/>
            <w:tcBorders>
              <w:top w:val="single" w:sz="4" w:space="0" w:color="auto"/>
              <w:bottom w:val="single" w:sz="4" w:space="0" w:color="auto"/>
            </w:tcBorders>
            <w:shd w:val="clear" w:color="auto" w:fill="E3F1E1" w:themeFill="accent4" w:themeFillTint="33"/>
            <w:noWrap/>
            <w:vAlign w:val="center"/>
            <w:hideMark/>
          </w:tcPr>
          <w:p w14:paraId="2700419D" w14:textId="707345FE"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39,674,132</w:t>
            </w:r>
          </w:p>
        </w:tc>
        <w:tc>
          <w:tcPr>
            <w:tcW w:w="637" w:type="pct"/>
            <w:tcBorders>
              <w:top w:val="single" w:sz="4" w:space="0" w:color="auto"/>
              <w:bottom w:val="single" w:sz="4" w:space="0" w:color="auto"/>
            </w:tcBorders>
            <w:shd w:val="clear" w:color="auto" w:fill="E3F1E1" w:themeFill="accent4" w:themeFillTint="33"/>
            <w:noWrap/>
            <w:vAlign w:val="center"/>
            <w:hideMark/>
          </w:tcPr>
          <w:p w14:paraId="4FE1FC00" w14:textId="4D192B2C"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42,054,580</w:t>
            </w:r>
          </w:p>
        </w:tc>
        <w:tc>
          <w:tcPr>
            <w:tcW w:w="637" w:type="pct"/>
            <w:tcBorders>
              <w:top w:val="single" w:sz="4" w:space="0" w:color="auto"/>
              <w:bottom w:val="single" w:sz="4" w:space="0" w:color="auto"/>
              <w:right w:val="nil"/>
            </w:tcBorders>
            <w:shd w:val="clear" w:color="auto" w:fill="E3F1E1" w:themeFill="accent4" w:themeFillTint="33"/>
            <w:noWrap/>
            <w:vAlign w:val="center"/>
            <w:hideMark/>
          </w:tcPr>
          <w:p w14:paraId="2B8D7AC8" w14:textId="08C673F2"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167,391,709</w:t>
            </w:r>
          </w:p>
        </w:tc>
      </w:tr>
      <w:tr w:rsidR="00241943" w:rsidRPr="00241943" w14:paraId="6D7C2F6E" w14:textId="77777777" w:rsidTr="005F63B7">
        <w:trPr>
          <w:trHeight w:val="25"/>
        </w:trPr>
        <w:tc>
          <w:tcPr>
            <w:tcW w:w="1178" w:type="pct"/>
            <w:tcBorders>
              <w:top w:val="single" w:sz="4" w:space="0" w:color="auto"/>
              <w:bottom w:val="single" w:sz="4" w:space="0" w:color="auto"/>
            </w:tcBorders>
            <w:shd w:val="clear" w:color="auto" w:fill="E3F1E1" w:themeFill="accent4" w:themeFillTint="33"/>
            <w:vAlign w:val="center"/>
            <w:hideMark/>
          </w:tcPr>
          <w:p w14:paraId="00544A10" w14:textId="03661CC4" w:rsidR="00241943" w:rsidRPr="00241943" w:rsidRDefault="00241943" w:rsidP="00241943">
            <w:pPr>
              <w:rPr>
                <w:rFonts w:asciiTheme="minorHAnsi" w:eastAsia="Times New Roman" w:hAnsiTheme="minorHAnsi"/>
                <w:b/>
                <w:bCs/>
                <w:sz w:val="14"/>
                <w:lang w:val="en-GB" w:eastAsia="en-GB"/>
              </w:rPr>
            </w:pPr>
            <w:r w:rsidRPr="00241943">
              <w:rPr>
                <w:rFonts w:asciiTheme="minorHAnsi" w:eastAsia="Times New Roman" w:hAnsiTheme="minorHAnsi"/>
                <w:b/>
                <w:bCs/>
                <w:sz w:val="14"/>
                <w:lang w:val="en-GB" w:eastAsia="en-GB"/>
              </w:rPr>
              <w:t xml:space="preserve">Grand Total </w:t>
            </w:r>
          </w:p>
        </w:tc>
        <w:tc>
          <w:tcPr>
            <w:tcW w:w="637" w:type="pct"/>
            <w:tcBorders>
              <w:top w:val="single" w:sz="4" w:space="0" w:color="auto"/>
              <w:bottom w:val="single" w:sz="4" w:space="0" w:color="auto"/>
            </w:tcBorders>
            <w:shd w:val="clear" w:color="auto" w:fill="E3F1E1" w:themeFill="accent4" w:themeFillTint="33"/>
            <w:noWrap/>
            <w:vAlign w:val="center"/>
            <w:hideMark/>
          </w:tcPr>
          <w:p w14:paraId="3CA9F67E" w14:textId="3133E0AF"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19,986,700</w:t>
            </w:r>
          </w:p>
        </w:tc>
        <w:tc>
          <w:tcPr>
            <w:tcW w:w="637" w:type="pct"/>
            <w:tcBorders>
              <w:top w:val="single" w:sz="4" w:space="0" w:color="auto"/>
              <w:bottom w:val="single" w:sz="4" w:space="0" w:color="auto"/>
            </w:tcBorders>
            <w:shd w:val="clear" w:color="auto" w:fill="E3F1E1" w:themeFill="accent4" w:themeFillTint="33"/>
            <w:noWrap/>
            <w:vAlign w:val="center"/>
            <w:hideMark/>
          </w:tcPr>
          <w:p w14:paraId="5F621FD5" w14:textId="1F0FDB46"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31,215,869</w:t>
            </w:r>
          </w:p>
        </w:tc>
        <w:tc>
          <w:tcPr>
            <w:tcW w:w="637" w:type="pct"/>
            <w:tcBorders>
              <w:top w:val="single" w:sz="4" w:space="0" w:color="auto"/>
              <w:bottom w:val="single" w:sz="4" w:space="0" w:color="auto"/>
            </w:tcBorders>
            <w:shd w:val="clear" w:color="auto" w:fill="E3F1E1" w:themeFill="accent4" w:themeFillTint="33"/>
            <w:noWrap/>
            <w:vAlign w:val="center"/>
            <w:hideMark/>
          </w:tcPr>
          <w:p w14:paraId="526C115C" w14:textId="35B621BD"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44,170,027</w:t>
            </w:r>
          </w:p>
        </w:tc>
        <w:tc>
          <w:tcPr>
            <w:tcW w:w="637" w:type="pct"/>
            <w:tcBorders>
              <w:top w:val="single" w:sz="4" w:space="0" w:color="auto"/>
              <w:bottom w:val="single" w:sz="4" w:space="0" w:color="auto"/>
            </w:tcBorders>
            <w:shd w:val="clear" w:color="auto" w:fill="E3F1E1" w:themeFill="accent4" w:themeFillTint="33"/>
            <w:noWrap/>
            <w:vAlign w:val="center"/>
            <w:hideMark/>
          </w:tcPr>
          <w:p w14:paraId="16E2CE3E" w14:textId="132B1AC1"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48,249,448</w:t>
            </w:r>
          </w:p>
        </w:tc>
        <w:tc>
          <w:tcPr>
            <w:tcW w:w="637" w:type="pct"/>
            <w:tcBorders>
              <w:top w:val="single" w:sz="4" w:space="0" w:color="auto"/>
              <w:bottom w:val="single" w:sz="4" w:space="0" w:color="auto"/>
            </w:tcBorders>
            <w:shd w:val="clear" w:color="auto" w:fill="E3F1E1" w:themeFill="accent4" w:themeFillTint="33"/>
            <w:noWrap/>
            <w:vAlign w:val="center"/>
            <w:hideMark/>
          </w:tcPr>
          <w:p w14:paraId="160ECF82" w14:textId="02204359"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52,659,387</w:t>
            </w:r>
          </w:p>
        </w:tc>
        <w:tc>
          <w:tcPr>
            <w:tcW w:w="637" w:type="pct"/>
            <w:tcBorders>
              <w:top w:val="single" w:sz="4" w:space="0" w:color="auto"/>
              <w:bottom w:val="single" w:sz="4" w:space="0" w:color="auto"/>
              <w:right w:val="nil"/>
            </w:tcBorders>
            <w:shd w:val="clear" w:color="auto" w:fill="E3F1E1" w:themeFill="accent4" w:themeFillTint="33"/>
            <w:noWrap/>
            <w:vAlign w:val="center"/>
            <w:hideMark/>
          </w:tcPr>
          <w:p w14:paraId="513B5D6E" w14:textId="3DD08982"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196,281,431</w:t>
            </w:r>
          </w:p>
        </w:tc>
      </w:tr>
      <w:tr w:rsidR="00241943" w:rsidRPr="00241943" w14:paraId="2BEB6278" w14:textId="77777777" w:rsidTr="005F63B7">
        <w:trPr>
          <w:trHeight w:val="25"/>
        </w:trPr>
        <w:tc>
          <w:tcPr>
            <w:tcW w:w="1178" w:type="pct"/>
            <w:tcBorders>
              <w:top w:val="single" w:sz="4" w:space="0" w:color="auto"/>
              <w:bottom w:val="single" w:sz="4" w:space="0" w:color="auto"/>
            </w:tcBorders>
            <w:shd w:val="clear" w:color="auto" w:fill="E3F1E1" w:themeFill="accent4" w:themeFillTint="33"/>
            <w:vAlign w:val="center"/>
            <w:hideMark/>
          </w:tcPr>
          <w:p w14:paraId="5034936F" w14:textId="5CA73053" w:rsidR="00241943" w:rsidRPr="00241943" w:rsidRDefault="00241943" w:rsidP="00241943">
            <w:pPr>
              <w:rPr>
                <w:rFonts w:asciiTheme="minorHAnsi" w:eastAsia="Times New Roman" w:hAnsiTheme="minorHAnsi"/>
                <w:b/>
                <w:bCs/>
                <w:sz w:val="14"/>
                <w:lang w:val="en-GB" w:eastAsia="en-GB"/>
              </w:rPr>
            </w:pPr>
            <w:r w:rsidRPr="00241943">
              <w:rPr>
                <w:rFonts w:asciiTheme="minorHAnsi" w:eastAsia="Times New Roman" w:hAnsiTheme="minorHAnsi"/>
                <w:b/>
                <w:bCs/>
                <w:sz w:val="14"/>
                <w:lang w:val="en-GB" w:eastAsia="en-GB"/>
              </w:rPr>
              <w:t xml:space="preserve">TA Total </w:t>
            </w:r>
          </w:p>
        </w:tc>
        <w:tc>
          <w:tcPr>
            <w:tcW w:w="637" w:type="pct"/>
            <w:tcBorders>
              <w:top w:val="single" w:sz="4" w:space="0" w:color="auto"/>
              <w:bottom w:val="single" w:sz="4" w:space="0" w:color="auto"/>
            </w:tcBorders>
            <w:shd w:val="clear" w:color="auto" w:fill="E3F1E1" w:themeFill="accent4" w:themeFillTint="33"/>
            <w:noWrap/>
            <w:vAlign w:val="center"/>
            <w:hideMark/>
          </w:tcPr>
          <w:p w14:paraId="0C08E890" w14:textId="2DB7087E"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14,946,700</w:t>
            </w:r>
          </w:p>
        </w:tc>
        <w:tc>
          <w:tcPr>
            <w:tcW w:w="637" w:type="pct"/>
            <w:tcBorders>
              <w:top w:val="single" w:sz="4" w:space="0" w:color="auto"/>
              <w:bottom w:val="single" w:sz="4" w:space="0" w:color="auto"/>
            </w:tcBorders>
            <w:shd w:val="clear" w:color="auto" w:fill="E3F1E1" w:themeFill="accent4" w:themeFillTint="33"/>
            <w:noWrap/>
            <w:vAlign w:val="center"/>
            <w:hideMark/>
          </w:tcPr>
          <w:p w14:paraId="4CCE8A9E" w14:textId="496001F4"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21,124,669</w:t>
            </w:r>
          </w:p>
        </w:tc>
        <w:tc>
          <w:tcPr>
            <w:tcW w:w="637" w:type="pct"/>
            <w:tcBorders>
              <w:top w:val="single" w:sz="4" w:space="0" w:color="auto"/>
              <w:bottom w:val="single" w:sz="4" w:space="0" w:color="auto"/>
            </w:tcBorders>
            <w:shd w:val="clear" w:color="auto" w:fill="E3F1E1" w:themeFill="accent4" w:themeFillTint="33"/>
            <w:noWrap/>
            <w:vAlign w:val="center"/>
            <w:hideMark/>
          </w:tcPr>
          <w:p w14:paraId="2AA8B2FB" w14:textId="2766FA64" w:rsidR="00241943" w:rsidRPr="00241943" w:rsidRDefault="00241943" w:rsidP="00241943">
            <w:pPr>
              <w:jc w:val="right"/>
              <w:rPr>
                <w:rFonts w:asciiTheme="minorHAnsi" w:eastAsia="Times New Roman" w:hAnsiTheme="minorHAnsi"/>
                <w:sz w:val="14"/>
                <w:szCs w:val="20"/>
                <w:lang w:val="en-GB" w:eastAsia="en-GB"/>
              </w:rPr>
            </w:pPr>
            <w:r w:rsidRPr="00241943">
              <w:rPr>
                <w:rFonts w:asciiTheme="minorHAnsi" w:eastAsia="Times New Roman" w:hAnsiTheme="minorHAnsi"/>
                <w:sz w:val="14"/>
                <w:szCs w:val="20"/>
                <w:lang w:val="en-GB" w:eastAsia="en-GB"/>
              </w:rPr>
              <w:t>27,990,187</w:t>
            </w:r>
          </w:p>
        </w:tc>
        <w:tc>
          <w:tcPr>
            <w:tcW w:w="637" w:type="pct"/>
            <w:tcBorders>
              <w:top w:val="single" w:sz="4" w:space="0" w:color="auto"/>
              <w:bottom w:val="single" w:sz="4" w:space="0" w:color="auto"/>
            </w:tcBorders>
            <w:shd w:val="clear" w:color="auto" w:fill="E3F1E1" w:themeFill="accent4" w:themeFillTint="33"/>
            <w:noWrap/>
            <w:vAlign w:val="center"/>
            <w:hideMark/>
          </w:tcPr>
          <w:p w14:paraId="24E70A06" w14:textId="6ADABFCA"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29,669,598</w:t>
            </w:r>
          </w:p>
        </w:tc>
        <w:tc>
          <w:tcPr>
            <w:tcW w:w="637" w:type="pct"/>
            <w:tcBorders>
              <w:top w:val="single" w:sz="4" w:space="0" w:color="auto"/>
              <w:bottom w:val="single" w:sz="4" w:space="0" w:color="auto"/>
            </w:tcBorders>
            <w:shd w:val="clear" w:color="auto" w:fill="E3F1E1" w:themeFill="accent4" w:themeFillTint="33"/>
            <w:noWrap/>
            <w:vAlign w:val="center"/>
            <w:hideMark/>
          </w:tcPr>
          <w:p w14:paraId="4E783C8E" w14:textId="301BD8F9"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31,449,774</w:t>
            </w:r>
          </w:p>
        </w:tc>
        <w:tc>
          <w:tcPr>
            <w:tcW w:w="637" w:type="pct"/>
            <w:tcBorders>
              <w:top w:val="single" w:sz="4" w:space="0" w:color="auto"/>
              <w:bottom w:val="single" w:sz="4" w:space="0" w:color="auto"/>
              <w:right w:val="nil"/>
            </w:tcBorders>
            <w:shd w:val="clear" w:color="auto" w:fill="E3F1E1" w:themeFill="accent4" w:themeFillTint="33"/>
            <w:noWrap/>
            <w:vAlign w:val="center"/>
            <w:hideMark/>
          </w:tcPr>
          <w:p w14:paraId="75B7EC26" w14:textId="20E5DA7A" w:rsidR="00241943" w:rsidRPr="00241943" w:rsidRDefault="00241943" w:rsidP="00241943">
            <w:pPr>
              <w:jc w:val="right"/>
              <w:rPr>
                <w:rFonts w:ascii="Verdana" w:eastAsia="Times New Roman" w:hAnsi="Verdana"/>
                <w:sz w:val="14"/>
                <w:szCs w:val="20"/>
                <w:lang w:val="en-GB" w:eastAsia="en-GB"/>
              </w:rPr>
            </w:pPr>
            <w:r w:rsidRPr="00241943">
              <w:rPr>
                <w:rFonts w:ascii="Verdana" w:eastAsia="Times New Roman" w:hAnsi="Verdana"/>
                <w:sz w:val="14"/>
                <w:szCs w:val="20"/>
                <w:lang w:val="en-GB" w:eastAsia="en-GB"/>
              </w:rPr>
              <w:t>125,180,928</w:t>
            </w:r>
          </w:p>
        </w:tc>
      </w:tr>
      <w:tr w:rsidR="00AA708F" w:rsidRPr="00241943" w14:paraId="512F51A3" w14:textId="77777777" w:rsidTr="005F63B7">
        <w:trPr>
          <w:trHeight w:val="25"/>
        </w:trPr>
        <w:tc>
          <w:tcPr>
            <w:tcW w:w="5000" w:type="pct"/>
            <w:gridSpan w:val="7"/>
            <w:tcBorders>
              <w:top w:val="single" w:sz="4" w:space="0" w:color="auto"/>
              <w:left w:val="nil"/>
              <w:bottom w:val="single" w:sz="4" w:space="0" w:color="auto"/>
              <w:right w:val="nil"/>
            </w:tcBorders>
            <w:shd w:val="clear" w:color="auto" w:fill="ACD6A7" w:themeFill="accent4" w:themeFillTint="99"/>
            <w:noWrap/>
            <w:hideMark/>
          </w:tcPr>
          <w:p w14:paraId="1098CE4E" w14:textId="22A7E47D" w:rsidR="00AA708F" w:rsidRPr="00241943" w:rsidRDefault="00AA708F" w:rsidP="00241943">
            <w:pPr>
              <w:rPr>
                <w:rFonts w:asciiTheme="minorHAnsi" w:eastAsia="Times New Roman" w:hAnsiTheme="minorHAnsi"/>
                <w:b/>
                <w:bCs/>
                <w:sz w:val="14"/>
                <w:szCs w:val="20"/>
                <w:lang w:val="en-GB" w:eastAsia="en-GB"/>
              </w:rPr>
            </w:pPr>
            <w:r w:rsidRPr="00241943">
              <w:rPr>
                <w:rFonts w:asciiTheme="minorHAnsi" w:eastAsia="Times New Roman" w:hAnsiTheme="minorHAnsi"/>
                <w:b/>
                <w:bCs/>
                <w:sz w:val="14"/>
                <w:szCs w:val="20"/>
                <w:lang w:val="en-GB" w:eastAsia="en-GB"/>
              </w:rPr>
              <w:t>Function and function Groups</w:t>
            </w:r>
          </w:p>
        </w:tc>
      </w:tr>
      <w:tr w:rsidR="00241943" w:rsidRPr="00241943" w14:paraId="13BB4352" w14:textId="77777777" w:rsidTr="005F63B7">
        <w:trPr>
          <w:trHeight w:val="25"/>
        </w:trPr>
        <w:tc>
          <w:tcPr>
            <w:tcW w:w="1178" w:type="pct"/>
            <w:tcBorders>
              <w:top w:val="single" w:sz="4" w:space="0" w:color="auto"/>
              <w:left w:val="nil"/>
              <w:bottom w:val="nil"/>
              <w:right w:val="nil"/>
            </w:tcBorders>
            <w:shd w:val="clear" w:color="auto" w:fill="auto"/>
            <w:hideMark/>
          </w:tcPr>
          <w:p w14:paraId="0F790E6C"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General Public Services</w:t>
            </w:r>
          </w:p>
        </w:tc>
        <w:tc>
          <w:tcPr>
            <w:tcW w:w="637" w:type="pct"/>
            <w:tcBorders>
              <w:top w:val="single" w:sz="4" w:space="0" w:color="auto"/>
              <w:left w:val="nil"/>
              <w:bottom w:val="nil"/>
              <w:right w:val="nil"/>
            </w:tcBorders>
            <w:shd w:val="clear" w:color="auto" w:fill="auto"/>
            <w:hideMark/>
          </w:tcPr>
          <w:p w14:paraId="322B011A" w14:textId="56A1D67A"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19,521,950</w:t>
            </w:r>
          </w:p>
        </w:tc>
        <w:tc>
          <w:tcPr>
            <w:tcW w:w="637" w:type="pct"/>
            <w:tcBorders>
              <w:top w:val="single" w:sz="4" w:space="0" w:color="auto"/>
              <w:left w:val="nil"/>
              <w:bottom w:val="nil"/>
              <w:right w:val="nil"/>
            </w:tcBorders>
            <w:shd w:val="clear" w:color="auto" w:fill="auto"/>
            <w:hideMark/>
          </w:tcPr>
          <w:p w14:paraId="36D6214E" w14:textId="6FF5CF90"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28,863,023</w:t>
            </w:r>
          </w:p>
        </w:tc>
        <w:tc>
          <w:tcPr>
            <w:tcW w:w="637" w:type="pct"/>
            <w:tcBorders>
              <w:top w:val="single" w:sz="4" w:space="0" w:color="auto"/>
              <w:left w:val="nil"/>
              <w:bottom w:val="nil"/>
              <w:right w:val="nil"/>
            </w:tcBorders>
            <w:shd w:val="clear" w:color="auto" w:fill="auto"/>
            <w:hideMark/>
          </w:tcPr>
          <w:p w14:paraId="4FC88587" w14:textId="078D97B8"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38,805,305</w:t>
            </w:r>
          </w:p>
        </w:tc>
        <w:tc>
          <w:tcPr>
            <w:tcW w:w="637" w:type="pct"/>
            <w:tcBorders>
              <w:top w:val="single" w:sz="4" w:space="0" w:color="auto"/>
              <w:left w:val="nil"/>
              <w:bottom w:val="nil"/>
              <w:right w:val="nil"/>
            </w:tcBorders>
            <w:shd w:val="clear" w:color="auto" w:fill="auto"/>
            <w:hideMark/>
          </w:tcPr>
          <w:p w14:paraId="5AB75DDD" w14:textId="362167B3"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41,610,030</w:t>
            </w:r>
          </w:p>
        </w:tc>
        <w:tc>
          <w:tcPr>
            <w:tcW w:w="637" w:type="pct"/>
            <w:tcBorders>
              <w:top w:val="single" w:sz="4" w:space="0" w:color="auto"/>
              <w:left w:val="nil"/>
              <w:bottom w:val="nil"/>
              <w:right w:val="nil"/>
            </w:tcBorders>
            <w:shd w:val="clear" w:color="auto" w:fill="auto"/>
            <w:hideMark/>
          </w:tcPr>
          <w:p w14:paraId="4798CE9C" w14:textId="521C1298"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44,611,622</w:t>
            </w:r>
          </w:p>
        </w:tc>
        <w:tc>
          <w:tcPr>
            <w:tcW w:w="637" w:type="pct"/>
            <w:tcBorders>
              <w:top w:val="single" w:sz="4" w:space="0" w:color="auto"/>
              <w:left w:val="nil"/>
              <w:bottom w:val="nil"/>
              <w:right w:val="nil"/>
            </w:tcBorders>
            <w:shd w:val="clear" w:color="auto" w:fill="auto"/>
            <w:hideMark/>
          </w:tcPr>
          <w:p w14:paraId="4C3B2305" w14:textId="07B0CC0A"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173,411,930</w:t>
            </w:r>
          </w:p>
        </w:tc>
      </w:tr>
      <w:tr w:rsidR="00241943" w:rsidRPr="00241943" w14:paraId="54B67637" w14:textId="77777777" w:rsidTr="005F63B7">
        <w:trPr>
          <w:trHeight w:val="25"/>
        </w:trPr>
        <w:tc>
          <w:tcPr>
            <w:tcW w:w="1178" w:type="pct"/>
            <w:tcBorders>
              <w:top w:val="single" w:sz="4" w:space="0" w:color="auto"/>
              <w:left w:val="nil"/>
              <w:bottom w:val="nil"/>
              <w:right w:val="nil"/>
            </w:tcBorders>
            <w:shd w:val="clear" w:color="auto" w:fill="auto"/>
            <w:hideMark/>
          </w:tcPr>
          <w:p w14:paraId="121265BA"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Defence</w:t>
            </w:r>
          </w:p>
        </w:tc>
        <w:tc>
          <w:tcPr>
            <w:tcW w:w="637" w:type="pct"/>
            <w:tcBorders>
              <w:top w:val="single" w:sz="4" w:space="0" w:color="auto"/>
              <w:left w:val="nil"/>
              <w:bottom w:val="nil"/>
              <w:right w:val="nil"/>
            </w:tcBorders>
            <w:shd w:val="clear" w:color="auto" w:fill="auto"/>
            <w:hideMark/>
          </w:tcPr>
          <w:p w14:paraId="66D5483D" w14:textId="6D18F60E"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nil"/>
              <w:right w:val="nil"/>
            </w:tcBorders>
            <w:shd w:val="clear" w:color="auto" w:fill="auto"/>
            <w:hideMark/>
          </w:tcPr>
          <w:p w14:paraId="1F414ACB" w14:textId="5946EF44"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nil"/>
              <w:right w:val="nil"/>
            </w:tcBorders>
            <w:shd w:val="clear" w:color="auto" w:fill="auto"/>
            <w:hideMark/>
          </w:tcPr>
          <w:p w14:paraId="26DF002D" w14:textId="4FC0E566"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449,440</w:t>
            </w:r>
          </w:p>
        </w:tc>
        <w:tc>
          <w:tcPr>
            <w:tcW w:w="637" w:type="pct"/>
            <w:tcBorders>
              <w:top w:val="single" w:sz="4" w:space="0" w:color="auto"/>
              <w:left w:val="nil"/>
              <w:bottom w:val="nil"/>
              <w:right w:val="nil"/>
            </w:tcBorders>
            <w:shd w:val="clear" w:color="auto" w:fill="auto"/>
            <w:hideMark/>
          </w:tcPr>
          <w:p w14:paraId="54167B30" w14:textId="0DB99CF5"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476,406</w:t>
            </w:r>
          </w:p>
        </w:tc>
        <w:tc>
          <w:tcPr>
            <w:tcW w:w="637" w:type="pct"/>
            <w:tcBorders>
              <w:top w:val="single" w:sz="4" w:space="0" w:color="auto"/>
              <w:left w:val="nil"/>
              <w:bottom w:val="nil"/>
              <w:right w:val="nil"/>
            </w:tcBorders>
            <w:shd w:val="clear" w:color="auto" w:fill="auto"/>
            <w:hideMark/>
          </w:tcPr>
          <w:p w14:paraId="7D80CD28" w14:textId="59BF9B44"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504,991</w:t>
            </w:r>
          </w:p>
        </w:tc>
        <w:tc>
          <w:tcPr>
            <w:tcW w:w="637" w:type="pct"/>
            <w:tcBorders>
              <w:top w:val="single" w:sz="4" w:space="0" w:color="auto"/>
              <w:left w:val="nil"/>
              <w:bottom w:val="nil"/>
              <w:right w:val="nil"/>
            </w:tcBorders>
            <w:shd w:val="clear" w:color="auto" w:fill="auto"/>
            <w:hideMark/>
          </w:tcPr>
          <w:p w14:paraId="514B66E0" w14:textId="141DD7A1"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1,430,837</w:t>
            </w:r>
          </w:p>
        </w:tc>
      </w:tr>
      <w:tr w:rsidR="00241943" w:rsidRPr="00241943" w14:paraId="7214C301" w14:textId="77777777" w:rsidTr="005F63B7">
        <w:trPr>
          <w:trHeight w:val="25"/>
        </w:trPr>
        <w:tc>
          <w:tcPr>
            <w:tcW w:w="1178" w:type="pct"/>
            <w:tcBorders>
              <w:top w:val="single" w:sz="4" w:space="0" w:color="auto"/>
              <w:left w:val="nil"/>
              <w:bottom w:val="nil"/>
              <w:right w:val="nil"/>
            </w:tcBorders>
            <w:shd w:val="clear" w:color="auto" w:fill="auto"/>
            <w:hideMark/>
          </w:tcPr>
          <w:p w14:paraId="76E209D3"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Public Order and Safety</w:t>
            </w:r>
          </w:p>
        </w:tc>
        <w:tc>
          <w:tcPr>
            <w:tcW w:w="637" w:type="pct"/>
            <w:tcBorders>
              <w:top w:val="single" w:sz="4" w:space="0" w:color="auto"/>
              <w:left w:val="nil"/>
              <w:bottom w:val="nil"/>
              <w:right w:val="nil"/>
            </w:tcBorders>
            <w:shd w:val="clear" w:color="auto" w:fill="auto"/>
            <w:hideMark/>
          </w:tcPr>
          <w:p w14:paraId="589FC86E" w14:textId="05F72D0B"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264,000</w:t>
            </w:r>
          </w:p>
        </w:tc>
        <w:tc>
          <w:tcPr>
            <w:tcW w:w="637" w:type="pct"/>
            <w:tcBorders>
              <w:top w:val="single" w:sz="4" w:space="0" w:color="auto"/>
              <w:left w:val="nil"/>
              <w:bottom w:val="nil"/>
              <w:right w:val="nil"/>
            </w:tcBorders>
            <w:shd w:val="clear" w:color="auto" w:fill="auto"/>
            <w:hideMark/>
          </w:tcPr>
          <w:p w14:paraId="04D909A4" w14:textId="394462D0"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1,221,120</w:t>
            </w:r>
          </w:p>
        </w:tc>
        <w:tc>
          <w:tcPr>
            <w:tcW w:w="637" w:type="pct"/>
            <w:tcBorders>
              <w:top w:val="single" w:sz="4" w:space="0" w:color="auto"/>
              <w:left w:val="nil"/>
              <w:bottom w:val="nil"/>
              <w:right w:val="nil"/>
            </w:tcBorders>
            <w:shd w:val="clear" w:color="auto" w:fill="auto"/>
            <w:hideMark/>
          </w:tcPr>
          <w:p w14:paraId="15539EB7" w14:textId="72D93236"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1,393,264</w:t>
            </w:r>
          </w:p>
        </w:tc>
        <w:tc>
          <w:tcPr>
            <w:tcW w:w="637" w:type="pct"/>
            <w:tcBorders>
              <w:top w:val="single" w:sz="4" w:space="0" w:color="auto"/>
              <w:left w:val="nil"/>
              <w:bottom w:val="nil"/>
              <w:right w:val="nil"/>
            </w:tcBorders>
            <w:shd w:val="clear" w:color="auto" w:fill="auto"/>
            <w:hideMark/>
          </w:tcPr>
          <w:p w14:paraId="43FC868E" w14:textId="0D37C521"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1,476,860</w:t>
            </w:r>
          </w:p>
        </w:tc>
        <w:tc>
          <w:tcPr>
            <w:tcW w:w="637" w:type="pct"/>
            <w:tcBorders>
              <w:top w:val="single" w:sz="4" w:space="0" w:color="auto"/>
              <w:left w:val="nil"/>
              <w:bottom w:val="nil"/>
              <w:right w:val="nil"/>
            </w:tcBorders>
            <w:shd w:val="clear" w:color="auto" w:fill="auto"/>
            <w:hideMark/>
          </w:tcPr>
          <w:p w14:paraId="49C2D8A4" w14:textId="43BB8D3E"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2,070,462</w:t>
            </w:r>
          </w:p>
        </w:tc>
        <w:tc>
          <w:tcPr>
            <w:tcW w:w="637" w:type="pct"/>
            <w:tcBorders>
              <w:top w:val="single" w:sz="4" w:space="0" w:color="auto"/>
              <w:left w:val="nil"/>
              <w:bottom w:val="nil"/>
              <w:right w:val="nil"/>
            </w:tcBorders>
            <w:shd w:val="clear" w:color="auto" w:fill="auto"/>
            <w:hideMark/>
          </w:tcPr>
          <w:p w14:paraId="52FDEA5D" w14:textId="2FDF59A3"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6,425,706</w:t>
            </w:r>
          </w:p>
        </w:tc>
      </w:tr>
      <w:tr w:rsidR="00241943" w:rsidRPr="00241943" w14:paraId="6CE75973" w14:textId="77777777" w:rsidTr="005F63B7">
        <w:trPr>
          <w:trHeight w:val="25"/>
        </w:trPr>
        <w:tc>
          <w:tcPr>
            <w:tcW w:w="1178" w:type="pct"/>
            <w:tcBorders>
              <w:top w:val="single" w:sz="4" w:space="0" w:color="auto"/>
              <w:left w:val="nil"/>
              <w:bottom w:val="nil"/>
              <w:right w:val="nil"/>
            </w:tcBorders>
            <w:shd w:val="clear" w:color="auto" w:fill="auto"/>
            <w:hideMark/>
          </w:tcPr>
          <w:p w14:paraId="2189F9AC"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Economic Affairs</w:t>
            </w:r>
          </w:p>
        </w:tc>
        <w:tc>
          <w:tcPr>
            <w:tcW w:w="637" w:type="pct"/>
            <w:tcBorders>
              <w:top w:val="single" w:sz="4" w:space="0" w:color="auto"/>
              <w:left w:val="nil"/>
              <w:bottom w:val="nil"/>
              <w:right w:val="nil"/>
            </w:tcBorders>
            <w:shd w:val="clear" w:color="auto" w:fill="auto"/>
            <w:hideMark/>
          </w:tcPr>
          <w:p w14:paraId="453BFC26" w14:textId="117F7658"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200,750</w:t>
            </w:r>
          </w:p>
        </w:tc>
        <w:tc>
          <w:tcPr>
            <w:tcW w:w="637" w:type="pct"/>
            <w:tcBorders>
              <w:top w:val="single" w:sz="4" w:space="0" w:color="auto"/>
              <w:left w:val="nil"/>
              <w:bottom w:val="nil"/>
              <w:right w:val="nil"/>
            </w:tcBorders>
            <w:shd w:val="clear" w:color="auto" w:fill="auto"/>
            <w:hideMark/>
          </w:tcPr>
          <w:p w14:paraId="29450E48" w14:textId="2A3923AE"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707,727</w:t>
            </w:r>
          </w:p>
        </w:tc>
        <w:tc>
          <w:tcPr>
            <w:tcW w:w="637" w:type="pct"/>
            <w:tcBorders>
              <w:top w:val="single" w:sz="4" w:space="0" w:color="auto"/>
              <w:left w:val="nil"/>
              <w:bottom w:val="nil"/>
              <w:right w:val="nil"/>
            </w:tcBorders>
            <w:shd w:val="clear" w:color="auto" w:fill="auto"/>
            <w:hideMark/>
          </w:tcPr>
          <w:p w14:paraId="594196C7" w14:textId="5533A359"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1,724,258</w:t>
            </w:r>
          </w:p>
        </w:tc>
        <w:tc>
          <w:tcPr>
            <w:tcW w:w="637" w:type="pct"/>
            <w:tcBorders>
              <w:top w:val="single" w:sz="4" w:space="0" w:color="auto"/>
              <w:left w:val="nil"/>
              <w:bottom w:val="nil"/>
              <w:right w:val="nil"/>
            </w:tcBorders>
            <w:shd w:val="clear" w:color="auto" w:fill="auto"/>
            <w:hideMark/>
          </w:tcPr>
          <w:p w14:paraId="44423A17" w14:textId="39D6EA38"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2,304,120</w:t>
            </w:r>
          </w:p>
        </w:tc>
        <w:tc>
          <w:tcPr>
            <w:tcW w:w="637" w:type="pct"/>
            <w:tcBorders>
              <w:top w:val="single" w:sz="4" w:space="0" w:color="auto"/>
              <w:left w:val="nil"/>
              <w:bottom w:val="nil"/>
              <w:right w:val="nil"/>
            </w:tcBorders>
            <w:shd w:val="clear" w:color="auto" w:fill="auto"/>
            <w:hideMark/>
          </w:tcPr>
          <w:p w14:paraId="3BBB707A" w14:textId="5C0DBBF2"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2,442,367</w:t>
            </w:r>
          </w:p>
        </w:tc>
        <w:tc>
          <w:tcPr>
            <w:tcW w:w="637" w:type="pct"/>
            <w:tcBorders>
              <w:top w:val="single" w:sz="4" w:space="0" w:color="auto"/>
              <w:left w:val="nil"/>
              <w:bottom w:val="nil"/>
              <w:right w:val="nil"/>
            </w:tcBorders>
            <w:shd w:val="clear" w:color="auto" w:fill="auto"/>
            <w:hideMark/>
          </w:tcPr>
          <w:p w14:paraId="20D6D648" w14:textId="5FAC2361"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7,379,221</w:t>
            </w:r>
          </w:p>
        </w:tc>
      </w:tr>
      <w:tr w:rsidR="00241943" w:rsidRPr="00241943" w14:paraId="32697F20" w14:textId="77777777" w:rsidTr="005F63B7">
        <w:trPr>
          <w:trHeight w:val="25"/>
        </w:trPr>
        <w:tc>
          <w:tcPr>
            <w:tcW w:w="1178" w:type="pct"/>
            <w:tcBorders>
              <w:top w:val="single" w:sz="4" w:space="0" w:color="auto"/>
              <w:left w:val="nil"/>
              <w:bottom w:val="single" w:sz="4" w:space="0" w:color="auto"/>
              <w:right w:val="nil"/>
            </w:tcBorders>
            <w:shd w:val="clear" w:color="auto" w:fill="auto"/>
            <w:hideMark/>
          </w:tcPr>
          <w:p w14:paraId="025F940E"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Environmental Protection</w:t>
            </w:r>
          </w:p>
        </w:tc>
        <w:tc>
          <w:tcPr>
            <w:tcW w:w="637" w:type="pct"/>
            <w:tcBorders>
              <w:top w:val="single" w:sz="4" w:space="0" w:color="auto"/>
              <w:left w:val="nil"/>
              <w:bottom w:val="single" w:sz="4" w:space="0" w:color="auto"/>
              <w:right w:val="nil"/>
            </w:tcBorders>
            <w:shd w:val="clear" w:color="auto" w:fill="auto"/>
            <w:hideMark/>
          </w:tcPr>
          <w:p w14:paraId="27BF998E" w14:textId="3188ED7A"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7C72A677" w14:textId="1FC73B3D"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556917D1" w14:textId="55824E38"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3BC39F0B" w14:textId="72812B4B"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5AB934F9" w14:textId="1EAB7D7B"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504,991</w:t>
            </w:r>
          </w:p>
        </w:tc>
        <w:tc>
          <w:tcPr>
            <w:tcW w:w="637" w:type="pct"/>
            <w:tcBorders>
              <w:top w:val="single" w:sz="4" w:space="0" w:color="auto"/>
              <w:left w:val="nil"/>
              <w:bottom w:val="single" w:sz="4" w:space="0" w:color="auto"/>
              <w:right w:val="nil"/>
            </w:tcBorders>
            <w:shd w:val="clear" w:color="auto" w:fill="auto"/>
            <w:hideMark/>
          </w:tcPr>
          <w:p w14:paraId="0E321558" w14:textId="65A71C42"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504,991</w:t>
            </w:r>
          </w:p>
        </w:tc>
      </w:tr>
      <w:tr w:rsidR="00241943" w:rsidRPr="00241943" w14:paraId="42058479" w14:textId="77777777" w:rsidTr="005F63B7">
        <w:trPr>
          <w:trHeight w:val="25"/>
        </w:trPr>
        <w:tc>
          <w:tcPr>
            <w:tcW w:w="1178" w:type="pct"/>
            <w:tcBorders>
              <w:top w:val="single" w:sz="4" w:space="0" w:color="auto"/>
              <w:left w:val="nil"/>
              <w:bottom w:val="single" w:sz="4" w:space="0" w:color="auto"/>
              <w:right w:val="nil"/>
            </w:tcBorders>
            <w:shd w:val="clear" w:color="auto" w:fill="auto"/>
            <w:hideMark/>
          </w:tcPr>
          <w:p w14:paraId="143EC445"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Housing and Community Development</w:t>
            </w:r>
          </w:p>
        </w:tc>
        <w:tc>
          <w:tcPr>
            <w:tcW w:w="637" w:type="pct"/>
            <w:tcBorders>
              <w:top w:val="single" w:sz="4" w:space="0" w:color="auto"/>
              <w:left w:val="nil"/>
              <w:bottom w:val="single" w:sz="4" w:space="0" w:color="auto"/>
              <w:right w:val="nil"/>
            </w:tcBorders>
            <w:shd w:val="clear" w:color="auto" w:fill="auto"/>
            <w:hideMark/>
          </w:tcPr>
          <w:p w14:paraId="46FC5625" w14:textId="42F390FB"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5981A36E" w14:textId="50FA8738"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424,000</w:t>
            </w:r>
          </w:p>
        </w:tc>
        <w:tc>
          <w:tcPr>
            <w:tcW w:w="637" w:type="pct"/>
            <w:tcBorders>
              <w:top w:val="single" w:sz="4" w:space="0" w:color="auto"/>
              <w:left w:val="nil"/>
              <w:bottom w:val="single" w:sz="4" w:space="0" w:color="auto"/>
              <w:right w:val="nil"/>
            </w:tcBorders>
            <w:shd w:val="clear" w:color="auto" w:fill="auto"/>
            <w:hideMark/>
          </w:tcPr>
          <w:p w14:paraId="5D679291" w14:textId="60C169E9"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449,440</w:t>
            </w:r>
          </w:p>
        </w:tc>
        <w:tc>
          <w:tcPr>
            <w:tcW w:w="637" w:type="pct"/>
            <w:tcBorders>
              <w:top w:val="single" w:sz="4" w:space="0" w:color="auto"/>
              <w:left w:val="nil"/>
              <w:bottom w:val="single" w:sz="4" w:space="0" w:color="auto"/>
              <w:right w:val="nil"/>
            </w:tcBorders>
            <w:shd w:val="clear" w:color="auto" w:fill="auto"/>
            <w:hideMark/>
          </w:tcPr>
          <w:p w14:paraId="696EBC2F" w14:textId="1FA351C2"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952,813</w:t>
            </w:r>
          </w:p>
        </w:tc>
        <w:tc>
          <w:tcPr>
            <w:tcW w:w="637" w:type="pct"/>
            <w:tcBorders>
              <w:top w:val="single" w:sz="4" w:space="0" w:color="auto"/>
              <w:left w:val="nil"/>
              <w:bottom w:val="single" w:sz="4" w:space="0" w:color="auto"/>
              <w:right w:val="nil"/>
            </w:tcBorders>
            <w:shd w:val="clear" w:color="auto" w:fill="auto"/>
            <w:hideMark/>
          </w:tcPr>
          <w:p w14:paraId="58364C69" w14:textId="5A6740AB"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1,009,982</w:t>
            </w:r>
          </w:p>
        </w:tc>
        <w:tc>
          <w:tcPr>
            <w:tcW w:w="637" w:type="pct"/>
            <w:tcBorders>
              <w:top w:val="single" w:sz="4" w:space="0" w:color="auto"/>
              <w:left w:val="nil"/>
              <w:bottom w:val="single" w:sz="4" w:space="0" w:color="auto"/>
              <w:right w:val="nil"/>
            </w:tcBorders>
            <w:shd w:val="clear" w:color="auto" w:fill="auto"/>
            <w:hideMark/>
          </w:tcPr>
          <w:p w14:paraId="361E4338" w14:textId="2712CC23"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2,836,234</w:t>
            </w:r>
          </w:p>
        </w:tc>
      </w:tr>
      <w:tr w:rsidR="00241943" w:rsidRPr="00241943" w14:paraId="0578E971" w14:textId="77777777" w:rsidTr="005F63B7">
        <w:trPr>
          <w:trHeight w:val="25"/>
        </w:trPr>
        <w:tc>
          <w:tcPr>
            <w:tcW w:w="1178" w:type="pct"/>
            <w:tcBorders>
              <w:top w:val="single" w:sz="4" w:space="0" w:color="auto"/>
              <w:left w:val="nil"/>
              <w:bottom w:val="nil"/>
              <w:right w:val="nil"/>
            </w:tcBorders>
            <w:shd w:val="clear" w:color="auto" w:fill="auto"/>
            <w:hideMark/>
          </w:tcPr>
          <w:p w14:paraId="68B7FA95"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Health</w:t>
            </w:r>
          </w:p>
        </w:tc>
        <w:tc>
          <w:tcPr>
            <w:tcW w:w="637" w:type="pct"/>
            <w:tcBorders>
              <w:top w:val="single" w:sz="4" w:space="0" w:color="auto"/>
              <w:left w:val="nil"/>
              <w:bottom w:val="nil"/>
              <w:right w:val="nil"/>
            </w:tcBorders>
            <w:shd w:val="clear" w:color="auto" w:fill="auto"/>
            <w:hideMark/>
          </w:tcPr>
          <w:p w14:paraId="75152428" w14:textId="07BB4538"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nil"/>
              <w:right w:val="nil"/>
            </w:tcBorders>
            <w:shd w:val="clear" w:color="auto" w:fill="auto"/>
            <w:hideMark/>
          </w:tcPr>
          <w:p w14:paraId="4719004D" w14:textId="4A822122"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nil"/>
              <w:right w:val="nil"/>
            </w:tcBorders>
            <w:shd w:val="clear" w:color="auto" w:fill="auto"/>
            <w:hideMark/>
          </w:tcPr>
          <w:p w14:paraId="252D67DC" w14:textId="7435C07F"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449,440</w:t>
            </w:r>
          </w:p>
        </w:tc>
        <w:tc>
          <w:tcPr>
            <w:tcW w:w="637" w:type="pct"/>
            <w:tcBorders>
              <w:top w:val="single" w:sz="4" w:space="0" w:color="auto"/>
              <w:left w:val="nil"/>
              <w:bottom w:val="nil"/>
              <w:right w:val="nil"/>
            </w:tcBorders>
            <w:shd w:val="clear" w:color="auto" w:fill="auto"/>
            <w:hideMark/>
          </w:tcPr>
          <w:p w14:paraId="59F62D40" w14:textId="27491963"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476,406</w:t>
            </w:r>
          </w:p>
        </w:tc>
        <w:tc>
          <w:tcPr>
            <w:tcW w:w="637" w:type="pct"/>
            <w:tcBorders>
              <w:top w:val="single" w:sz="4" w:space="0" w:color="auto"/>
              <w:left w:val="nil"/>
              <w:bottom w:val="nil"/>
              <w:right w:val="nil"/>
            </w:tcBorders>
            <w:shd w:val="clear" w:color="auto" w:fill="auto"/>
            <w:hideMark/>
          </w:tcPr>
          <w:p w14:paraId="5432D148" w14:textId="0DF0DB53"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504,991</w:t>
            </w:r>
          </w:p>
        </w:tc>
        <w:tc>
          <w:tcPr>
            <w:tcW w:w="637" w:type="pct"/>
            <w:tcBorders>
              <w:top w:val="single" w:sz="4" w:space="0" w:color="auto"/>
              <w:left w:val="nil"/>
              <w:bottom w:val="nil"/>
              <w:right w:val="nil"/>
            </w:tcBorders>
            <w:shd w:val="clear" w:color="auto" w:fill="auto"/>
            <w:hideMark/>
          </w:tcPr>
          <w:p w14:paraId="3C93999D" w14:textId="4D087B8E"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1,430,837</w:t>
            </w:r>
          </w:p>
        </w:tc>
      </w:tr>
      <w:tr w:rsidR="00241943" w:rsidRPr="00241943" w14:paraId="4081B410" w14:textId="77777777" w:rsidTr="005F63B7">
        <w:trPr>
          <w:trHeight w:val="25"/>
        </w:trPr>
        <w:tc>
          <w:tcPr>
            <w:tcW w:w="1178" w:type="pct"/>
            <w:tcBorders>
              <w:top w:val="single" w:sz="4" w:space="0" w:color="auto"/>
              <w:left w:val="nil"/>
              <w:bottom w:val="single" w:sz="4" w:space="0" w:color="auto"/>
              <w:right w:val="nil"/>
            </w:tcBorders>
            <w:shd w:val="clear" w:color="auto" w:fill="auto"/>
            <w:hideMark/>
          </w:tcPr>
          <w:p w14:paraId="0AA03985"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Recreation, Culture, Religion</w:t>
            </w:r>
          </w:p>
        </w:tc>
        <w:tc>
          <w:tcPr>
            <w:tcW w:w="637" w:type="pct"/>
            <w:tcBorders>
              <w:top w:val="single" w:sz="4" w:space="0" w:color="auto"/>
              <w:left w:val="nil"/>
              <w:bottom w:val="single" w:sz="4" w:space="0" w:color="auto"/>
              <w:right w:val="nil"/>
            </w:tcBorders>
            <w:shd w:val="clear" w:color="auto" w:fill="auto"/>
            <w:hideMark/>
          </w:tcPr>
          <w:p w14:paraId="3FCB4FE6" w14:textId="52D181CE"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75C50750" w14:textId="2F53E2F2"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22B68352" w14:textId="18A49660"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4ED8B2FC" w14:textId="2B9BF85F"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6A575159" w14:textId="42563128"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32D8C170" w14:textId="5601619C"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r>
      <w:tr w:rsidR="00241943" w:rsidRPr="00241943" w14:paraId="58A7C942" w14:textId="77777777" w:rsidTr="005F63B7">
        <w:trPr>
          <w:trHeight w:val="25"/>
        </w:trPr>
        <w:tc>
          <w:tcPr>
            <w:tcW w:w="1178" w:type="pct"/>
            <w:tcBorders>
              <w:top w:val="single" w:sz="4" w:space="0" w:color="auto"/>
              <w:left w:val="nil"/>
              <w:bottom w:val="single" w:sz="4" w:space="0" w:color="auto"/>
              <w:right w:val="nil"/>
            </w:tcBorders>
            <w:shd w:val="clear" w:color="auto" w:fill="auto"/>
            <w:hideMark/>
          </w:tcPr>
          <w:p w14:paraId="4AE5A380"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Education</w:t>
            </w:r>
          </w:p>
        </w:tc>
        <w:tc>
          <w:tcPr>
            <w:tcW w:w="637" w:type="pct"/>
            <w:tcBorders>
              <w:top w:val="single" w:sz="4" w:space="0" w:color="auto"/>
              <w:left w:val="nil"/>
              <w:bottom w:val="single" w:sz="4" w:space="0" w:color="auto"/>
              <w:right w:val="nil"/>
            </w:tcBorders>
            <w:shd w:val="clear" w:color="auto" w:fill="auto"/>
            <w:hideMark/>
          </w:tcPr>
          <w:p w14:paraId="66BE4F99" w14:textId="28FC8B51"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2E008237" w14:textId="2E5EC56D"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64904574" w14:textId="1441C18C"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449,440</w:t>
            </w:r>
          </w:p>
        </w:tc>
        <w:tc>
          <w:tcPr>
            <w:tcW w:w="637" w:type="pct"/>
            <w:tcBorders>
              <w:top w:val="single" w:sz="4" w:space="0" w:color="auto"/>
              <w:left w:val="nil"/>
              <w:bottom w:val="single" w:sz="4" w:space="0" w:color="auto"/>
              <w:right w:val="nil"/>
            </w:tcBorders>
            <w:shd w:val="clear" w:color="auto" w:fill="auto"/>
            <w:hideMark/>
          </w:tcPr>
          <w:p w14:paraId="0DC56C4E" w14:textId="2573AB9E"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476,406</w:t>
            </w:r>
          </w:p>
        </w:tc>
        <w:tc>
          <w:tcPr>
            <w:tcW w:w="637" w:type="pct"/>
            <w:tcBorders>
              <w:top w:val="single" w:sz="4" w:space="0" w:color="auto"/>
              <w:left w:val="nil"/>
              <w:bottom w:val="single" w:sz="4" w:space="0" w:color="auto"/>
              <w:right w:val="nil"/>
            </w:tcBorders>
            <w:shd w:val="clear" w:color="auto" w:fill="auto"/>
            <w:hideMark/>
          </w:tcPr>
          <w:p w14:paraId="69D894CC" w14:textId="5BEF95FC"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504,991</w:t>
            </w:r>
          </w:p>
        </w:tc>
        <w:tc>
          <w:tcPr>
            <w:tcW w:w="637" w:type="pct"/>
            <w:tcBorders>
              <w:top w:val="single" w:sz="4" w:space="0" w:color="auto"/>
              <w:left w:val="nil"/>
              <w:bottom w:val="single" w:sz="4" w:space="0" w:color="auto"/>
              <w:right w:val="nil"/>
            </w:tcBorders>
            <w:shd w:val="clear" w:color="auto" w:fill="auto"/>
            <w:hideMark/>
          </w:tcPr>
          <w:p w14:paraId="34D1333F" w14:textId="512BC496"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1,430,837</w:t>
            </w:r>
          </w:p>
        </w:tc>
      </w:tr>
      <w:tr w:rsidR="00241943" w:rsidRPr="00241943" w14:paraId="773338E6" w14:textId="77777777" w:rsidTr="005F63B7">
        <w:trPr>
          <w:trHeight w:val="25"/>
        </w:trPr>
        <w:tc>
          <w:tcPr>
            <w:tcW w:w="1178" w:type="pct"/>
            <w:tcBorders>
              <w:top w:val="single" w:sz="4" w:space="0" w:color="auto"/>
              <w:left w:val="nil"/>
              <w:bottom w:val="single" w:sz="4" w:space="0" w:color="auto"/>
              <w:right w:val="nil"/>
            </w:tcBorders>
            <w:shd w:val="clear" w:color="auto" w:fill="auto"/>
            <w:hideMark/>
          </w:tcPr>
          <w:p w14:paraId="37E0CCDB" w14:textId="77777777" w:rsidR="00241943" w:rsidRPr="00241943" w:rsidRDefault="00241943" w:rsidP="00241943">
            <w:pPr>
              <w:outlineLvl w:val="0"/>
              <w:rPr>
                <w:rFonts w:asciiTheme="minorHAnsi" w:eastAsia="Times New Roman" w:hAnsiTheme="minorHAnsi"/>
                <w:b/>
                <w:bCs/>
                <w:color w:val="000000"/>
                <w:sz w:val="14"/>
                <w:szCs w:val="16"/>
                <w:lang w:val="en-GB" w:eastAsia="en-GB"/>
              </w:rPr>
            </w:pPr>
            <w:r w:rsidRPr="00241943">
              <w:rPr>
                <w:rFonts w:asciiTheme="minorHAnsi" w:eastAsia="Times New Roman" w:hAnsiTheme="minorHAnsi"/>
                <w:b/>
                <w:bCs/>
                <w:color w:val="000000"/>
                <w:sz w:val="14"/>
                <w:szCs w:val="16"/>
                <w:lang w:val="en-GB" w:eastAsia="en-GB"/>
              </w:rPr>
              <w:t>Social Protection</w:t>
            </w:r>
          </w:p>
        </w:tc>
        <w:tc>
          <w:tcPr>
            <w:tcW w:w="637" w:type="pct"/>
            <w:tcBorders>
              <w:top w:val="single" w:sz="4" w:space="0" w:color="auto"/>
              <w:left w:val="nil"/>
              <w:bottom w:val="single" w:sz="4" w:space="0" w:color="auto"/>
              <w:right w:val="nil"/>
            </w:tcBorders>
            <w:shd w:val="clear" w:color="auto" w:fill="auto"/>
            <w:hideMark/>
          </w:tcPr>
          <w:p w14:paraId="461FCC45" w14:textId="004F38E7"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4CEC3D52" w14:textId="5D6DDA0B"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w:t>
            </w:r>
          </w:p>
        </w:tc>
        <w:tc>
          <w:tcPr>
            <w:tcW w:w="637" w:type="pct"/>
            <w:tcBorders>
              <w:top w:val="single" w:sz="4" w:space="0" w:color="auto"/>
              <w:left w:val="nil"/>
              <w:bottom w:val="single" w:sz="4" w:space="0" w:color="auto"/>
              <w:right w:val="nil"/>
            </w:tcBorders>
            <w:shd w:val="clear" w:color="auto" w:fill="auto"/>
            <w:hideMark/>
          </w:tcPr>
          <w:p w14:paraId="1DF94CDB" w14:textId="09FFFB61"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449,440</w:t>
            </w:r>
          </w:p>
        </w:tc>
        <w:tc>
          <w:tcPr>
            <w:tcW w:w="637" w:type="pct"/>
            <w:tcBorders>
              <w:top w:val="single" w:sz="4" w:space="0" w:color="auto"/>
              <w:left w:val="nil"/>
              <w:bottom w:val="single" w:sz="4" w:space="0" w:color="auto"/>
              <w:right w:val="nil"/>
            </w:tcBorders>
            <w:shd w:val="clear" w:color="auto" w:fill="auto"/>
            <w:hideMark/>
          </w:tcPr>
          <w:p w14:paraId="00062DC7" w14:textId="78FB65C5"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476,406</w:t>
            </w:r>
          </w:p>
        </w:tc>
        <w:tc>
          <w:tcPr>
            <w:tcW w:w="637" w:type="pct"/>
            <w:tcBorders>
              <w:top w:val="single" w:sz="4" w:space="0" w:color="auto"/>
              <w:left w:val="nil"/>
              <w:bottom w:val="single" w:sz="4" w:space="0" w:color="auto"/>
              <w:right w:val="nil"/>
            </w:tcBorders>
            <w:shd w:val="clear" w:color="auto" w:fill="auto"/>
            <w:hideMark/>
          </w:tcPr>
          <w:p w14:paraId="0816D1F6" w14:textId="0159530C"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504,991</w:t>
            </w:r>
          </w:p>
        </w:tc>
        <w:tc>
          <w:tcPr>
            <w:tcW w:w="637" w:type="pct"/>
            <w:tcBorders>
              <w:top w:val="single" w:sz="4" w:space="0" w:color="auto"/>
              <w:left w:val="nil"/>
              <w:bottom w:val="single" w:sz="4" w:space="0" w:color="auto"/>
              <w:right w:val="nil"/>
            </w:tcBorders>
            <w:shd w:val="clear" w:color="auto" w:fill="auto"/>
            <w:hideMark/>
          </w:tcPr>
          <w:p w14:paraId="6E81735A" w14:textId="2E6D72D4" w:rsidR="00241943" w:rsidRPr="00241943" w:rsidRDefault="00241943" w:rsidP="00241943">
            <w:pPr>
              <w:jc w:val="right"/>
              <w:outlineLvl w:val="0"/>
              <w:rPr>
                <w:rFonts w:asciiTheme="minorHAnsi" w:eastAsia="Times New Roman" w:hAnsiTheme="minorHAnsi"/>
                <w:bCs/>
                <w:color w:val="000000"/>
                <w:sz w:val="14"/>
                <w:szCs w:val="16"/>
                <w:lang w:val="en-GB" w:eastAsia="en-GB"/>
              </w:rPr>
            </w:pPr>
            <w:r w:rsidRPr="00241943">
              <w:rPr>
                <w:rFonts w:asciiTheme="minorHAnsi" w:eastAsia="Times New Roman" w:hAnsiTheme="minorHAnsi"/>
                <w:bCs/>
                <w:color w:val="000000"/>
                <w:sz w:val="14"/>
                <w:szCs w:val="16"/>
                <w:lang w:val="en-GB" w:eastAsia="en-GB"/>
              </w:rPr>
              <w:t>1,430,837</w:t>
            </w:r>
          </w:p>
        </w:tc>
      </w:tr>
    </w:tbl>
    <w:p w14:paraId="22C4065C" w14:textId="3C32A52E" w:rsidR="00241943" w:rsidRDefault="00241943"/>
    <w:p w14:paraId="455F1680" w14:textId="77777777" w:rsidR="005F63B7" w:rsidRDefault="005F63B7" w:rsidP="005F63B7">
      <w:pPr>
        <w:pStyle w:val="Numberedpara"/>
      </w:pPr>
      <w:r>
        <w:rPr>
          <w:b/>
        </w:rPr>
        <w:t>Activity Based Costing</w:t>
      </w:r>
      <w:r w:rsidRPr="000F72D5">
        <w:rPr>
          <w:b/>
        </w:rPr>
        <w:t xml:space="preserve"> (ABC) was undertaken.</w:t>
      </w:r>
      <w:r>
        <w:t xml:space="preserve"> They include costs against a range of unit costs for technical assistance, security, IT works and other expenditures noted above. Costings also include expansion of the reach of the program to line ministries over the next few years. These were included in unallocated component reflecting that there were no activities to cost at this stage – only indicative allocations for admin and finance functions within line agencies. Costs by Fund source type (e.g. ARTF, USAID etc) are also included. </w:t>
      </w:r>
    </w:p>
    <w:p w14:paraId="272B5B6C" w14:textId="77777777" w:rsidR="005F63B7" w:rsidRDefault="005F63B7"/>
    <w:p w14:paraId="687BB3CA" w14:textId="36CBB417" w:rsidR="00241943" w:rsidRDefault="00241943" w:rsidP="00241943">
      <w:pPr>
        <w:pStyle w:val="FigureHeader"/>
      </w:pPr>
      <w:bookmarkStart w:id="69" w:name="_Toc457162663"/>
      <w:r>
        <w:t>Fiscal Performance Improvement Costs (Shares &amp; US$)</w:t>
      </w:r>
      <w:bookmarkEnd w:id="69"/>
    </w:p>
    <w:p w14:paraId="4CD98FC3" w14:textId="421C1A6B" w:rsidR="00241943" w:rsidRDefault="003B7009" w:rsidP="005F63B7">
      <w:pPr>
        <w:pStyle w:val="Numberedpara"/>
        <w:numPr>
          <w:ilvl w:val="0"/>
          <w:numId w:val="0"/>
        </w:numPr>
        <w:ind w:left="360" w:hanging="360"/>
        <w:jc w:val="center"/>
      </w:pPr>
      <w:r w:rsidRPr="003B7009">
        <w:rPr>
          <w:noProof/>
          <w:lang w:val="en-US" w:eastAsia="en-US"/>
        </w:rPr>
        <w:drawing>
          <wp:inline distT="0" distB="0" distL="0" distR="0" wp14:anchorId="32F8445A" wp14:editId="6EB4364D">
            <wp:extent cx="4705350" cy="2847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8902" cy="2867995"/>
                    </a:xfrm>
                    <a:prstGeom prst="rect">
                      <a:avLst/>
                    </a:prstGeom>
                    <a:noFill/>
                    <a:ln>
                      <a:noFill/>
                    </a:ln>
                  </pic:spPr>
                </pic:pic>
              </a:graphicData>
            </a:graphic>
          </wp:inline>
        </w:drawing>
      </w:r>
    </w:p>
    <w:p w14:paraId="61E1FC65" w14:textId="77777777" w:rsidR="00E67775" w:rsidRPr="00E67775" w:rsidRDefault="00E67775" w:rsidP="00E67775">
      <w:pPr>
        <w:pStyle w:val="Numberedpara"/>
        <w:numPr>
          <w:ilvl w:val="0"/>
          <w:numId w:val="0"/>
        </w:numPr>
        <w:ind w:left="360" w:hanging="360"/>
      </w:pPr>
    </w:p>
    <w:p w14:paraId="6D157DAA" w14:textId="4BE30C7E" w:rsidR="005F63B7" w:rsidRDefault="000F72D5" w:rsidP="005F63B7">
      <w:pPr>
        <w:pStyle w:val="Numberedpara"/>
      </w:pPr>
      <w:r w:rsidRPr="000F72D5">
        <w:rPr>
          <w:b/>
        </w:rPr>
        <w:t>Overall cost est</w:t>
      </w:r>
      <w:r w:rsidR="00E67775">
        <w:rPr>
          <w:b/>
        </w:rPr>
        <w:t>imates are</w:t>
      </w:r>
      <w:r w:rsidRPr="000F72D5">
        <w:rPr>
          <w:b/>
        </w:rPr>
        <w:t xml:space="preserve"> almost $200m over</w:t>
      </w:r>
      <w:r>
        <w:rPr>
          <w:b/>
        </w:rPr>
        <w:t xml:space="preserve"> 5 years, </w:t>
      </w:r>
      <w:r w:rsidRPr="000F72D5">
        <w:t>of which around $50m is for compensating consultants, $75m for goods and services</w:t>
      </w:r>
      <w:r w:rsidR="00FA5841">
        <w:t xml:space="preserve"> (see </w:t>
      </w:r>
      <w:r w:rsidR="00FA5841">
        <w:fldChar w:fldCharType="begin"/>
      </w:r>
      <w:r w:rsidR="00FA5841">
        <w:instrText xml:space="preserve"> REF _Ref443820037 \n \h </w:instrText>
      </w:r>
      <w:r w:rsidR="00FA5841">
        <w:fldChar w:fldCharType="separate"/>
      </w:r>
      <w:r w:rsidR="00004C5E">
        <w:t>Table 7</w:t>
      </w:r>
      <w:r w:rsidR="00FA5841">
        <w:fldChar w:fldCharType="end"/>
      </w:r>
      <w:r w:rsidR="00FA5841">
        <w:t>)</w:t>
      </w:r>
      <w:r w:rsidRPr="000F72D5">
        <w:t xml:space="preserve">. </w:t>
      </w:r>
      <w:r w:rsidR="00FA5841">
        <w:t>Most of the allocations ($173m) is for fiscal and financial affairs, though service del</w:t>
      </w:r>
      <w:r w:rsidR="00E67775">
        <w:t>ivery functions</w:t>
      </w:r>
      <w:r w:rsidR="00FA5841">
        <w:t xml:space="preserve"> th</w:t>
      </w:r>
      <w:r w:rsidR="00E67775">
        <w:t xml:space="preserve">rough the expanded reach into line </w:t>
      </w:r>
      <w:r w:rsidR="00E67775">
        <w:lastRenderedPageBreak/>
        <w:t>ministries. Estimates include allocations</w:t>
      </w:r>
      <w:r w:rsidR="00FA5841">
        <w:t xml:space="preserve"> </w:t>
      </w:r>
      <w:r w:rsidR="00E67775">
        <w:t xml:space="preserve">at </w:t>
      </w:r>
      <w:r w:rsidR="00FA5841">
        <w:t>the admi</w:t>
      </w:r>
      <w:r w:rsidR="00E67775">
        <w:t xml:space="preserve">nistrative unit level </w:t>
      </w:r>
      <w:r w:rsidR="00FA5841">
        <w:t xml:space="preserve">(see </w:t>
      </w:r>
      <w:r w:rsidR="00FA5841">
        <w:fldChar w:fldCharType="begin"/>
      </w:r>
      <w:r w:rsidR="00FA5841">
        <w:instrText xml:space="preserve"> REF _Ref443819984 \n \h </w:instrText>
      </w:r>
      <w:r w:rsidR="00FA5841">
        <w:fldChar w:fldCharType="separate"/>
      </w:r>
      <w:r w:rsidR="00004C5E">
        <w:t>Table 8</w:t>
      </w:r>
      <w:r w:rsidR="00FA5841">
        <w:fldChar w:fldCharType="end"/>
      </w:r>
      <w:r w:rsidR="00FA5841">
        <w:t xml:space="preserve">).  </w:t>
      </w:r>
      <w:r>
        <w:t>For detailed cost estimates,</w:t>
      </w:r>
      <w:r w:rsidRPr="000234C1">
        <w:t xml:space="preserve"> see </w:t>
      </w:r>
      <w:r>
        <w:fldChar w:fldCharType="begin"/>
      </w:r>
      <w:r>
        <w:instrText xml:space="preserve"> REF _Ref443819237 \h </w:instrText>
      </w:r>
      <w:r>
        <w:fldChar w:fldCharType="separate"/>
      </w:r>
      <w:r w:rsidR="00004C5E">
        <w:rPr>
          <w:rStyle w:val="Emphasis"/>
        </w:rPr>
        <w:t>Attachment E</w:t>
      </w:r>
      <w:r w:rsidR="00004C5E" w:rsidRPr="00FE5C2E">
        <w:rPr>
          <w:rStyle w:val="Emphasis"/>
        </w:rPr>
        <w:t xml:space="preserve">: </w:t>
      </w:r>
      <w:r w:rsidR="00004C5E">
        <w:rPr>
          <w:rStyle w:val="Emphasis"/>
        </w:rPr>
        <w:t>Costings and Resource Allocations</w:t>
      </w:r>
      <w:r>
        <w:fldChar w:fldCharType="end"/>
      </w:r>
      <w:r w:rsidRPr="000234C1">
        <w:t>.</w:t>
      </w:r>
    </w:p>
    <w:p w14:paraId="7F5115B5" w14:textId="087E55A0" w:rsidR="003B7009" w:rsidRDefault="003B7009" w:rsidP="003B7009">
      <w:pPr>
        <w:pStyle w:val="TableHeader1"/>
      </w:pPr>
      <w:bookmarkStart w:id="70" w:name="_Ref443819984"/>
      <w:bookmarkStart w:id="71" w:name="_Toc457162640"/>
      <w:r>
        <w:t xml:space="preserve">Medium Term Resourcing </w:t>
      </w:r>
      <w:r w:rsidR="00EB4D02">
        <w:t>Costings</w:t>
      </w:r>
      <w:r>
        <w:t xml:space="preserve"> – by Administrative Unit (US$)</w:t>
      </w:r>
      <w:bookmarkEnd w:id="70"/>
      <w:bookmarkEnd w:id="71"/>
    </w:p>
    <w:tbl>
      <w:tblPr>
        <w:tblW w:w="5000" w:type="pct"/>
        <w:tblBorders>
          <w:top w:val="single" w:sz="4" w:space="0" w:color="auto"/>
          <w:bottom w:val="single" w:sz="4" w:space="0" w:color="auto"/>
        </w:tblBorders>
        <w:tblLook w:val="04A0" w:firstRow="1" w:lastRow="0" w:firstColumn="1" w:lastColumn="0" w:noHBand="0" w:noVBand="1"/>
      </w:tblPr>
      <w:tblGrid>
        <w:gridCol w:w="2645"/>
        <w:gridCol w:w="1495"/>
        <w:gridCol w:w="1496"/>
        <w:gridCol w:w="1128"/>
        <w:gridCol w:w="1128"/>
        <w:gridCol w:w="1128"/>
      </w:tblGrid>
      <w:tr w:rsidR="003B7009" w:rsidRPr="003B7009" w14:paraId="16F50E8E" w14:textId="77777777" w:rsidTr="00EB4D02">
        <w:trPr>
          <w:trHeight w:val="20"/>
        </w:trPr>
        <w:tc>
          <w:tcPr>
            <w:tcW w:w="1467" w:type="pct"/>
            <w:tcBorders>
              <w:top w:val="single" w:sz="4" w:space="0" w:color="auto"/>
              <w:bottom w:val="single" w:sz="4" w:space="0" w:color="auto"/>
            </w:tcBorders>
            <w:shd w:val="clear" w:color="auto" w:fill="75BB6E" w:themeFill="accent4"/>
            <w:vAlign w:val="center"/>
            <w:hideMark/>
          </w:tcPr>
          <w:p w14:paraId="40AB3D24" w14:textId="3524872E" w:rsidR="003B7009" w:rsidRPr="003B7009" w:rsidRDefault="003B7009" w:rsidP="003B7009">
            <w:pPr>
              <w:jc w:val="center"/>
              <w:rPr>
                <w:rFonts w:asciiTheme="minorHAnsi" w:eastAsia="Times New Roman" w:hAnsiTheme="minorHAnsi"/>
                <w:b/>
                <w:bCs/>
                <w:color w:val="000000"/>
                <w:sz w:val="14"/>
                <w:szCs w:val="16"/>
                <w:lang w:val="en-GB" w:eastAsia="en-GB"/>
              </w:rPr>
            </w:pPr>
            <w:r w:rsidRPr="003B7009">
              <w:rPr>
                <w:rFonts w:asciiTheme="minorHAnsi" w:eastAsia="Times New Roman" w:hAnsiTheme="minorHAnsi"/>
                <w:b/>
                <w:bCs/>
                <w:color w:val="000000"/>
                <w:sz w:val="14"/>
                <w:szCs w:val="16"/>
                <w:lang w:val="en-GB" w:eastAsia="en-GB"/>
              </w:rPr>
              <w:t>Administrative Unit</w:t>
            </w:r>
          </w:p>
        </w:tc>
        <w:tc>
          <w:tcPr>
            <w:tcW w:w="829" w:type="pct"/>
            <w:tcBorders>
              <w:top w:val="single" w:sz="4" w:space="0" w:color="auto"/>
              <w:bottom w:val="single" w:sz="4" w:space="0" w:color="auto"/>
            </w:tcBorders>
            <w:shd w:val="clear" w:color="auto" w:fill="75BB6E" w:themeFill="accent4"/>
            <w:vAlign w:val="center"/>
            <w:hideMark/>
          </w:tcPr>
          <w:p w14:paraId="04557735" w14:textId="378B6DDF" w:rsidR="003B7009" w:rsidRPr="003B7009" w:rsidRDefault="003B7009" w:rsidP="003B7009">
            <w:pPr>
              <w:jc w:val="center"/>
              <w:rPr>
                <w:rFonts w:asciiTheme="minorHAnsi" w:eastAsia="Times New Roman" w:hAnsiTheme="minorHAnsi"/>
                <w:b/>
                <w:bCs/>
                <w:sz w:val="14"/>
                <w:szCs w:val="16"/>
                <w:lang w:val="en-GB" w:eastAsia="en-GB"/>
              </w:rPr>
            </w:pPr>
            <w:r w:rsidRPr="003B7009">
              <w:rPr>
                <w:rFonts w:asciiTheme="minorHAnsi" w:eastAsia="Times New Roman" w:hAnsiTheme="minorHAnsi"/>
                <w:b/>
                <w:bCs/>
                <w:sz w:val="14"/>
                <w:szCs w:val="16"/>
                <w:lang w:val="en-GB" w:eastAsia="en-GB"/>
              </w:rPr>
              <w:t>Emp. Compensation</w:t>
            </w:r>
          </w:p>
        </w:tc>
        <w:tc>
          <w:tcPr>
            <w:tcW w:w="829" w:type="pct"/>
            <w:tcBorders>
              <w:top w:val="single" w:sz="4" w:space="0" w:color="auto"/>
              <w:bottom w:val="single" w:sz="4" w:space="0" w:color="auto"/>
            </w:tcBorders>
            <w:shd w:val="clear" w:color="auto" w:fill="75BB6E" w:themeFill="accent4"/>
            <w:vAlign w:val="center"/>
            <w:hideMark/>
          </w:tcPr>
          <w:p w14:paraId="5DCAD9A9" w14:textId="1AAEA124" w:rsidR="003B7009" w:rsidRPr="003B7009" w:rsidRDefault="003B7009" w:rsidP="003B7009">
            <w:pPr>
              <w:jc w:val="center"/>
              <w:rPr>
                <w:rFonts w:asciiTheme="minorHAnsi" w:eastAsia="Times New Roman" w:hAnsiTheme="minorHAnsi"/>
                <w:b/>
                <w:bCs/>
                <w:sz w:val="14"/>
                <w:szCs w:val="16"/>
                <w:lang w:val="en-GB" w:eastAsia="en-GB"/>
              </w:rPr>
            </w:pPr>
            <w:r w:rsidRPr="003B7009">
              <w:rPr>
                <w:rFonts w:asciiTheme="minorHAnsi" w:eastAsia="Times New Roman" w:hAnsiTheme="minorHAnsi"/>
                <w:b/>
                <w:bCs/>
                <w:sz w:val="14"/>
                <w:szCs w:val="16"/>
                <w:lang w:val="en-GB" w:eastAsia="en-GB"/>
              </w:rPr>
              <w:t>TA Compensation</w:t>
            </w:r>
          </w:p>
        </w:tc>
        <w:tc>
          <w:tcPr>
            <w:tcW w:w="625" w:type="pct"/>
            <w:tcBorders>
              <w:top w:val="single" w:sz="4" w:space="0" w:color="auto"/>
              <w:bottom w:val="single" w:sz="4" w:space="0" w:color="auto"/>
            </w:tcBorders>
            <w:shd w:val="clear" w:color="auto" w:fill="75BB6E" w:themeFill="accent4"/>
            <w:vAlign w:val="center"/>
            <w:hideMark/>
          </w:tcPr>
          <w:p w14:paraId="4A0D0515" w14:textId="791A7E2F" w:rsidR="003B7009" w:rsidRPr="003B7009" w:rsidRDefault="003B7009" w:rsidP="003B7009">
            <w:pPr>
              <w:jc w:val="center"/>
              <w:rPr>
                <w:rFonts w:asciiTheme="minorHAnsi" w:eastAsia="Times New Roman" w:hAnsiTheme="minorHAnsi"/>
                <w:b/>
                <w:bCs/>
                <w:sz w:val="14"/>
                <w:szCs w:val="16"/>
                <w:lang w:val="en-GB" w:eastAsia="en-GB"/>
              </w:rPr>
            </w:pPr>
            <w:r w:rsidRPr="003B7009">
              <w:rPr>
                <w:rFonts w:asciiTheme="minorHAnsi" w:eastAsia="Times New Roman" w:hAnsiTheme="minorHAnsi"/>
                <w:b/>
                <w:bCs/>
                <w:sz w:val="14"/>
                <w:szCs w:val="16"/>
                <w:lang w:val="en-GB" w:eastAsia="en-GB"/>
              </w:rPr>
              <w:t>G&amp;S</w:t>
            </w:r>
          </w:p>
        </w:tc>
        <w:tc>
          <w:tcPr>
            <w:tcW w:w="625" w:type="pct"/>
            <w:tcBorders>
              <w:top w:val="single" w:sz="4" w:space="0" w:color="auto"/>
              <w:bottom w:val="single" w:sz="4" w:space="0" w:color="auto"/>
            </w:tcBorders>
            <w:shd w:val="clear" w:color="auto" w:fill="75BB6E" w:themeFill="accent4"/>
            <w:vAlign w:val="center"/>
            <w:hideMark/>
          </w:tcPr>
          <w:p w14:paraId="7088C48D" w14:textId="0E002EB8" w:rsidR="003B7009" w:rsidRPr="003B7009" w:rsidRDefault="003B7009" w:rsidP="003B7009">
            <w:pPr>
              <w:jc w:val="center"/>
              <w:rPr>
                <w:rFonts w:asciiTheme="minorHAnsi" w:eastAsia="Times New Roman" w:hAnsiTheme="minorHAnsi"/>
                <w:b/>
                <w:bCs/>
                <w:sz w:val="14"/>
                <w:szCs w:val="16"/>
                <w:lang w:val="en-GB" w:eastAsia="en-GB"/>
              </w:rPr>
            </w:pPr>
            <w:r w:rsidRPr="003B7009">
              <w:rPr>
                <w:rFonts w:asciiTheme="minorHAnsi" w:eastAsia="Times New Roman" w:hAnsiTheme="minorHAnsi"/>
                <w:b/>
                <w:bCs/>
                <w:sz w:val="14"/>
                <w:szCs w:val="16"/>
                <w:lang w:val="en-GB" w:eastAsia="en-GB"/>
              </w:rPr>
              <w:t>Capital</w:t>
            </w:r>
          </w:p>
        </w:tc>
        <w:tc>
          <w:tcPr>
            <w:tcW w:w="625" w:type="pct"/>
            <w:tcBorders>
              <w:top w:val="single" w:sz="4" w:space="0" w:color="auto"/>
              <w:bottom w:val="single" w:sz="4" w:space="0" w:color="auto"/>
            </w:tcBorders>
            <w:shd w:val="clear" w:color="auto" w:fill="75BB6E" w:themeFill="accent4"/>
            <w:vAlign w:val="center"/>
            <w:hideMark/>
          </w:tcPr>
          <w:p w14:paraId="49E951D4" w14:textId="7CDB397C" w:rsidR="003B7009" w:rsidRPr="003B7009" w:rsidRDefault="003B7009" w:rsidP="003B7009">
            <w:pPr>
              <w:jc w:val="center"/>
              <w:rPr>
                <w:rFonts w:asciiTheme="minorHAnsi" w:eastAsia="Times New Roman" w:hAnsiTheme="minorHAnsi"/>
                <w:b/>
                <w:bCs/>
                <w:sz w:val="14"/>
                <w:szCs w:val="16"/>
                <w:lang w:val="en-GB" w:eastAsia="en-GB"/>
              </w:rPr>
            </w:pPr>
            <w:r w:rsidRPr="003B7009">
              <w:rPr>
                <w:rFonts w:asciiTheme="minorHAnsi" w:eastAsia="Times New Roman" w:hAnsiTheme="minorHAnsi"/>
                <w:b/>
                <w:bCs/>
                <w:sz w:val="14"/>
                <w:szCs w:val="16"/>
                <w:lang w:val="en-GB" w:eastAsia="en-GB"/>
              </w:rPr>
              <w:t>Grand Total</w:t>
            </w:r>
          </w:p>
        </w:tc>
      </w:tr>
      <w:tr w:rsidR="003B7009" w:rsidRPr="003B7009" w14:paraId="69670CAD" w14:textId="77777777" w:rsidTr="003B7009">
        <w:trPr>
          <w:trHeight w:val="20"/>
        </w:trPr>
        <w:tc>
          <w:tcPr>
            <w:tcW w:w="1467" w:type="pct"/>
            <w:tcBorders>
              <w:top w:val="single" w:sz="4" w:space="0" w:color="auto"/>
            </w:tcBorders>
            <w:shd w:val="clear" w:color="auto" w:fill="auto"/>
            <w:vAlign w:val="center"/>
            <w:hideMark/>
          </w:tcPr>
          <w:p w14:paraId="523C1D93"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 xml:space="preserve">1.0 Office of the Minister </w:t>
            </w:r>
          </w:p>
        </w:tc>
        <w:tc>
          <w:tcPr>
            <w:tcW w:w="829" w:type="pct"/>
            <w:tcBorders>
              <w:top w:val="single" w:sz="4" w:space="0" w:color="auto"/>
            </w:tcBorders>
            <w:shd w:val="clear" w:color="auto" w:fill="auto"/>
            <w:vAlign w:val="center"/>
            <w:hideMark/>
          </w:tcPr>
          <w:p w14:paraId="67476EE3" w14:textId="3366AE76"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tcBorders>
              <w:top w:val="single" w:sz="4" w:space="0" w:color="auto"/>
            </w:tcBorders>
            <w:shd w:val="clear" w:color="auto" w:fill="auto"/>
            <w:vAlign w:val="center"/>
            <w:hideMark/>
          </w:tcPr>
          <w:p w14:paraId="3A75D62E" w14:textId="7A28EFED"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1,260,417</w:t>
            </w:r>
          </w:p>
        </w:tc>
        <w:tc>
          <w:tcPr>
            <w:tcW w:w="625" w:type="pct"/>
            <w:tcBorders>
              <w:top w:val="single" w:sz="4" w:space="0" w:color="auto"/>
            </w:tcBorders>
            <w:shd w:val="clear" w:color="auto" w:fill="auto"/>
            <w:vAlign w:val="center"/>
            <w:hideMark/>
          </w:tcPr>
          <w:p w14:paraId="55A662C6" w14:textId="5B61977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1,462,083</w:t>
            </w:r>
          </w:p>
        </w:tc>
        <w:tc>
          <w:tcPr>
            <w:tcW w:w="625" w:type="pct"/>
            <w:tcBorders>
              <w:top w:val="single" w:sz="4" w:space="0" w:color="auto"/>
            </w:tcBorders>
            <w:shd w:val="clear" w:color="auto" w:fill="auto"/>
            <w:vAlign w:val="center"/>
            <w:hideMark/>
          </w:tcPr>
          <w:p w14:paraId="6B282B61" w14:textId="713C421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250,417</w:t>
            </w:r>
          </w:p>
        </w:tc>
        <w:tc>
          <w:tcPr>
            <w:tcW w:w="625" w:type="pct"/>
            <w:tcBorders>
              <w:top w:val="single" w:sz="4" w:space="0" w:color="auto"/>
            </w:tcBorders>
            <w:shd w:val="clear" w:color="auto" w:fill="auto"/>
            <w:vAlign w:val="center"/>
            <w:hideMark/>
          </w:tcPr>
          <w:p w14:paraId="7F152630" w14:textId="0E999A2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2,972,917</w:t>
            </w:r>
          </w:p>
        </w:tc>
      </w:tr>
      <w:tr w:rsidR="003B7009" w:rsidRPr="003B7009" w14:paraId="3A8FDE6A" w14:textId="77777777" w:rsidTr="003B7009">
        <w:trPr>
          <w:trHeight w:val="20"/>
        </w:trPr>
        <w:tc>
          <w:tcPr>
            <w:tcW w:w="1467" w:type="pct"/>
            <w:shd w:val="clear" w:color="auto" w:fill="auto"/>
            <w:vAlign w:val="center"/>
            <w:hideMark/>
          </w:tcPr>
          <w:p w14:paraId="315E31D3"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2.0 Customs Department</w:t>
            </w:r>
          </w:p>
        </w:tc>
        <w:tc>
          <w:tcPr>
            <w:tcW w:w="829" w:type="pct"/>
            <w:shd w:val="clear" w:color="auto" w:fill="auto"/>
            <w:vAlign w:val="center"/>
            <w:hideMark/>
          </w:tcPr>
          <w:p w14:paraId="05AA317D" w14:textId="4B515F92"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6D3946F9" w14:textId="7D22E5DD"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1,183,333</w:t>
            </w:r>
          </w:p>
        </w:tc>
        <w:tc>
          <w:tcPr>
            <w:tcW w:w="625" w:type="pct"/>
            <w:shd w:val="clear" w:color="auto" w:fill="auto"/>
            <w:vAlign w:val="center"/>
            <w:hideMark/>
          </w:tcPr>
          <w:p w14:paraId="4964B1FF" w14:textId="6C32952D"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1,372,667</w:t>
            </w:r>
          </w:p>
        </w:tc>
        <w:tc>
          <w:tcPr>
            <w:tcW w:w="625" w:type="pct"/>
            <w:shd w:val="clear" w:color="auto" w:fill="auto"/>
            <w:vAlign w:val="center"/>
            <w:hideMark/>
          </w:tcPr>
          <w:p w14:paraId="370D6113" w14:textId="5FB49E8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2,047,333</w:t>
            </w:r>
          </w:p>
        </w:tc>
        <w:tc>
          <w:tcPr>
            <w:tcW w:w="625" w:type="pct"/>
            <w:shd w:val="clear" w:color="auto" w:fill="auto"/>
            <w:vAlign w:val="center"/>
            <w:hideMark/>
          </w:tcPr>
          <w:p w14:paraId="1751DCCA" w14:textId="1306469A"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4,603,333</w:t>
            </w:r>
          </w:p>
        </w:tc>
      </w:tr>
      <w:tr w:rsidR="003B7009" w:rsidRPr="003B7009" w14:paraId="0219C012" w14:textId="77777777" w:rsidTr="003B7009">
        <w:trPr>
          <w:trHeight w:val="20"/>
        </w:trPr>
        <w:tc>
          <w:tcPr>
            <w:tcW w:w="1467" w:type="pct"/>
            <w:shd w:val="clear" w:color="auto" w:fill="auto"/>
            <w:vAlign w:val="center"/>
            <w:hideMark/>
          </w:tcPr>
          <w:p w14:paraId="3C5468B7"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 xml:space="preserve">3.0 Revenues Department </w:t>
            </w:r>
          </w:p>
        </w:tc>
        <w:tc>
          <w:tcPr>
            <w:tcW w:w="829" w:type="pct"/>
            <w:shd w:val="clear" w:color="auto" w:fill="auto"/>
            <w:vAlign w:val="center"/>
            <w:hideMark/>
          </w:tcPr>
          <w:p w14:paraId="0D421704" w14:textId="2DA2521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3B79A276" w14:textId="31F50E45"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2,006,250</w:t>
            </w:r>
          </w:p>
        </w:tc>
        <w:tc>
          <w:tcPr>
            <w:tcW w:w="625" w:type="pct"/>
            <w:shd w:val="clear" w:color="auto" w:fill="auto"/>
            <w:vAlign w:val="center"/>
            <w:hideMark/>
          </w:tcPr>
          <w:p w14:paraId="445A5093" w14:textId="619A30C4"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2,327,250</w:t>
            </w:r>
          </w:p>
        </w:tc>
        <w:tc>
          <w:tcPr>
            <w:tcW w:w="625" w:type="pct"/>
            <w:shd w:val="clear" w:color="auto" w:fill="auto"/>
            <w:vAlign w:val="center"/>
            <w:hideMark/>
          </w:tcPr>
          <w:p w14:paraId="57D1EAB9" w14:textId="507C387A"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1,080,250</w:t>
            </w:r>
          </w:p>
        </w:tc>
        <w:tc>
          <w:tcPr>
            <w:tcW w:w="625" w:type="pct"/>
            <w:shd w:val="clear" w:color="auto" w:fill="auto"/>
            <w:vAlign w:val="center"/>
            <w:hideMark/>
          </w:tcPr>
          <w:p w14:paraId="2B269473" w14:textId="0A52DF6A"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5,413,750</w:t>
            </w:r>
          </w:p>
        </w:tc>
      </w:tr>
      <w:tr w:rsidR="003B7009" w:rsidRPr="003B7009" w14:paraId="027E22C4" w14:textId="77777777" w:rsidTr="003B7009">
        <w:trPr>
          <w:trHeight w:val="20"/>
        </w:trPr>
        <w:tc>
          <w:tcPr>
            <w:tcW w:w="1467" w:type="pct"/>
            <w:shd w:val="clear" w:color="auto" w:fill="auto"/>
            <w:vAlign w:val="center"/>
            <w:hideMark/>
          </w:tcPr>
          <w:p w14:paraId="30EA202C"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4.0 Treasury Department</w:t>
            </w:r>
          </w:p>
        </w:tc>
        <w:tc>
          <w:tcPr>
            <w:tcW w:w="829" w:type="pct"/>
            <w:shd w:val="clear" w:color="auto" w:fill="auto"/>
            <w:vAlign w:val="center"/>
            <w:hideMark/>
          </w:tcPr>
          <w:p w14:paraId="20E10338" w14:textId="3F8A5E5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73452D8B" w14:textId="77660BB7"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625,000</w:t>
            </w:r>
          </w:p>
        </w:tc>
        <w:tc>
          <w:tcPr>
            <w:tcW w:w="625" w:type="pct"/>
            <w:shd w:val="clear" w:color="auto" w:fill="auto"/>
            <w:vAlign w:val="center"/>
            <w:hideMark/>
          </w:tcPr>
          <w:p w14:paraId="3FF12229" w14:textId="2E59ABF9"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1,225,000</w:t>
            </w:r>
          </w:p>
        </w:tc>
        <w:tc>
          <w:tcPr>
            <w:tcW w:w="625" w:type="pct"/>
            <w:shd w:val="clear" w:color="auto" w:fill="auto"/>
            <w:vAlign w:val="center"/>
            <w:hideMark/>
          </w:tcPr>
          <w:p w14:paraId="20B851B1" w14:textId="563CF692"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1,525,000</w:t>
            </w:r>
          </w:p>
        </w:tc>
        <w:tc>
          <w:tcPr>
            <w:tcW w:w="625" w:type="pct"/>
            <w:shd w:val="clear" w:color="auto" w:fill="auto"/>
            <w:vAlign w:val="center"/>
            <w:hideMark/>
          </w:tcPr>
          <w:p w14:paraId="5A22C220" w14:textId="62C64487"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3,375,000</w:t>
            </w:r>
          </w:p>
        </w:tc>
      </w:tr>
      <w:tr w:rsidR="003B7009" w:rsidRPr="003B7009" w14:paraId="7A9F4DD8" w14:textId="77777777" w:rsidTr="003B7009">
        <w:trPr>
          <w:trHeight w:val="20"/>
        </w:trPr>
        <w:tc>
          <w:tcPr>
            <w:tcW w:w="1467" w:type="pct"/>
            <w:shd w:val="clear" w:color="auto" w:fill="auto"/>
            <w:vAlign w:val="center"/>
            <w:hideMark/>
          </w:tcPr>
          <w:p w14:paraId="3C086436"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 xml:space="preserve">5.0 Budget Department </w:t>
            </w:r>
          </w:p>
        </w:tc>
        <w:tc>
          <w:tcPr>
            <w:tcW w:w="829" w:type="pct"/>
            <w:shd w:val="clear" w:color="auto" w:fill="auto"/>
            <w:vAlign w:val="center"/>
            <w:hideMark/>
          </w:tcPr>
          <w:p w14:paraId="28F94F80" w14:textId="2D58EBC0"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7F6BB0D8" w14:textId="2A468BD8"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645,833</w:t>
            </w:r>
          </w:p>
        </w:tc>
        <w:tc>
          <w:tcPr>
            <w:tcW w:w="625" w:type="pct"/>
            <w:shd w:val="clear" w:color="auto" w:fill="auto"/>
            <w:vAlign w:val="center"/>
            <w:hideMark/>
          </w:tcPr>
          <w:p w14:paraId="616C5C62" w14:textId="23BCBF9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749,167</w:t>
            </w:r>
          </w:p>
        </w:tc>
        <w:tc>
          <w:tcPr>
            <w:tcW w:w="625" w:type="pct"/>
            <w:shd w:val="clear" w:color="auto" w:fill="auto"/>
            <w:vAlign w:val="center"/>
            <w:hideMark/>
          </w:tcPr>
          <w:p w14:paraId="1520F6A4" w14:textId="79F70CD0"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25,833</w:t>
            </w:r>
          </w:p>
        </w:tc>
        <w:tc>
          <w:tcPr>
            <w:tcW w:w="625" w:type="pct"/>
            <w:shd w:val="clear" w:color="auto" w:fill="auto"/>
            <w:vAlign w:val="center"/>
            <w:hideMark/>
          </w:tcPr>
          <w:p w14:paraId="2CA2BFA8" w14:textId="1158DEB0"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1,420,833</w:t>
            </w:r>
          </w:p>
        </w:tc>
      </w:tr>
      <w:tr w:rsidR="003B7009" w:rsidRPr="003B7009" w14:paraId="18490C76" w14:textId="77777777" w:rsidTr="003B7009">
        <w:trPr>
          <w:trHeight w:val="20"/>
        </w:trPr>
        <w:tc>
          <w:tcPr>
            <w:tcW w:w="1467" w:type="pct"/>
            <w:shd w:val="clear" w:color="auto" w:fill="auto"/>
            <w:vAlign w:val="center"/>
            <w:hideMark/>
          </w:tcPr>
          <w:p w14:paraId="4C7A520D"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6.0 Admin Department</w:t>
            </w:r>
          </w:p>
        </w:tc>
        <w:tc>
          <w:tcPr>
            <w:tcW w:w="829" w:type="pct"/>
            <w:shd w:val="clear" w:color="auto" w:fill="auto"/>
            <w:vAlign w:val="center"/>
            <w:hideMark/>
          </w:tcPr>
          <w:p w14:paraId="0BAA9CDC" w14:textId="645A5BCB"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2B50591F" w14:textId="1566DD3A"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931,250</w:t>
            </w:r>
          </w:p>
        </w:tc>
        <w:tc>
          <w:tcPr>
            <w:tcW w:w="625" w:type="pct"/>
            <w:shd w:val="clear" w:color="auto" w:fill="auto"/>
            <w:vAlign w:val="center"/>
            <w:hideMark/>
          </w:tcPr>
          <w:p w14:paraId="4477D2C1" w14:textId="30909368"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1,080,250</w:t>
            </w:r>
          </w:p>
        </w:tc>
        <w:tc>
          <w:tcPr>
            <w:tcW w:w="625" w:type="pct"/>
            <w:shd w:val="clear" w:color="auto" w:fill="auto"/>
            <w:vAlign w:val="center"/>
            <w:hideMark/>
          </w:tcPr>
          <w:p w14:paraId="43DCFD72" w14:textId="22220F6A"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2,037,250</w:t>
            </w:r>
          </w:p>
        </w:tc>
        <w:tc>
          <w:tcPr>
            <w:tcW w:w="625" w:type="pct"/>
            <w:shd w:val="clear" w:color="auto" w:fill="auto"/>
            <w:vAlign w:val="center"/>
            <w:hideMark/>
          </w:tcPr>
          <w:p w14:paraId="0FF3D542" w14:textId="0C76BAF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4,048,750</w:t>
            </w:r>
          </w:p>
        </w:tc>
      </w:tr>
      <w:tr w:rsidR="003B7009" w:rsidRPr="003B7009" w14:paraId="65846F7B" w14:textId="77777777" w:rsidTr="003B7009">
        <w:trPr>
          <w:trHeight w:val="20"/>
        </w:trPr>
        <w:tc>
          <w:tcPr>
            <w:tcW w:w="1467" w:type="pct"/>
            <w:shd w:val="clear" w:color="auto" w:fill="auto"/>
            <w:vAlign w:val="center"/>
            <w:hideMark/>
          </w:tcPr>
          <w:p w14:paraId="456FC948"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 xml:space="preserve">7.0 SOE Department </w:t>
            </w:r>
          </w:p>
        </w:tc>
        <w:tc>
          <w:tcPr>
            <w:tcW w:w="829" w:type="pct"/>
            <w:shd w:val="clear" w:color="auto" w:fill="auto"/>
            <w:vAlign w:val="center"/>
            <w:hideMark/>
          </w:tcPr>
          <w:p w14:paraId="6C89B4C2" w14:textId="643BEDAE"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79E85C00" w14:textId="2063FDA6"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402,083</w:t>
            </w:r>
          </w:p>
        </w:tc>
        <w:tc>
          <w:tcPr>
            <w:tcW w:w="625" w:type="pct"/>
            <w:shd w:val="clear" w:color="auto" w:fill="auto"/>
            <w:vAlign w:val="center"/>
            <w:hideMark/>
          </w:tcPr>
          <w:p w14:paraId="621E70FF" w14:textId="61230B04"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466,417</w:t>
            </w:r>
          </w:p>
        </w:tc>
        <w:tc>
          <w:tcPr>
            <w:tcW w:w="625" w:type="pct"/>
            <w:shd w:val="clear" w:color="auto" w:fill="auto"/>
            <w:vAlign w:val="center"/>
            <w:hideMark/>
          </w:tcPr>
          <w:p w14:paraId="44E1D05C" w14:textId="5850577A"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16,083</w:t>
            </w:r>
          </w:p>
        </w:tc>
        <w:tc>
          <w:tcPr>
            <w:tcW w:w="625" w:type="pct"/>
            <w:shd w:val="clear" w:color="auto" w:fill="auto"/>
            <w:vAlign w:val="center"/>
            <w:hideMark/>
          </w:tcPr>
          <w:p w14:paraId="26033E94" w14:textId="52ACEB7A"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884,583</w:t>
            </w:r>
          </w:p>
        </w:tc>
      </w:tr>
      <w:tr w:rsidR="003B7009" w:rsidRPr="003B7009" w14:paraId="57651508" w14:textId="77777777" w:rsidTr="003B7009">
        <w:trPr>
          <w:trHeight w:val="20"/>
        </w:trPr>
        <w:tc>
          <w:tcPr>
            <w:tcW w:w="1467" w:type="pct"/>
            <w:shd w:val="clear" w:color="auto" w:fill="auto"/>
            <w:vAlign w:val="center"/>
            <w:hideMark/>
          </w:tcPr>
          <w:p w14:paraId="24B5B8F9"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8.0 Property Department</w:t>
            </w:r>
          </w:p>
        </w:tc>
        <w:tc>
          <w:tcPr>
            <w:tcW w:w="829" w:type="pct"/>
            <w:shd w:val="clear" w:color="auto" w:fill="auto"/>
            <w:vAlign w:val="center"/>
            <w:hideMark/>
          </w:tcPr>
          <w:p w14:paraId="6A85E286" w14:textId="76FB8497"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2D50261E" w14:textId="1D3E977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522,500</w:t>
            </w:r>
          </w:p>
        </w:tc>
        <w:tc>
          <w:tcPr>
            <w:tcW w:w="625" w:type="pct"/>
            <w:shd w:val="clear" w:color="auto" w:fill="auto"/>
            <w:vAlign w:val="center"/>
            <w:hideMark/>
          </w:tcPr>
          <w:p w14:paraId="76D314E7" w14:textId="6CC4DEA2"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606,100</w:t>
            </w:r>
          </w:p>
        </w:tc>
        <w:tc>
          <w:tcPr>
            <w:tcW w:w="625" w:type="pct"/>
            <w:shd w:val="clear" w:color="auto" w:fill="auto"/>
            <w:vAlign w:val="center"/>
            <w:hideMark/>
          </w:tcPr>
          <w:p w14:paraId="1AD5D11D" w14:textId="2A6E601C"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20,900</w:t>
            </w:r>
          </w:p>
        </w:tc>
        <w:tc>
          <w:tcPr>
            <w:tcW w:w="625" w:type="pct"/>
            <w:shd w:val="clear" w:color="auto" w:fill="auto"/>
            <w:vAlign w:val="center"/>
            <w:hideMark/>
          </w:tcPr>
          <w:p w14:paraId="17C40E4B" w14:textId="61C1C4F2"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1,149,500</w:t>
            </w:r>
          </w:p>
        </w:tc>
      </w:tr>
      <w:tr w:rsidR="003B7009" w:rsidRPr="003B7009" w14:paraId="33CB2619" w14:textId="77777777" w:rsidTr="003B7009">
        <w:trPr>
          <w:trHeight w:val="20"/>
        </w:trPr>
        <w:tc>
          <w:tcPr>
            <w:tcW w:w="1467" w:type="pct"/>
            <w:shd w:val="clear" w:color="auto" w:fill="auto"/>
            <w:vAlign w:val="center"/>
            <w:hideMark/>
          </w:tcPr>
          <w:p w14:paraId="5BE4C02D"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9.0 Human Resources Department</w:t>
            </w:r>
          </w:p>
        </w:tc>
        <w:tc>
          <w:tcPr>
            <w:tcW w:w="829" w:type="pct"/>
            <w:shd w:val="clear" w:color="auto" w:fill="auto"/>
            <w:vAlign w:val="center"/>
            <w:hideMark/>
          </w:tcPr>
          <w:p w14:paraId="71AD6A3E" w14:textId="74BF9260"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1,000,000</w:t>
            </w:r>
          </w:p>
        </w:tc>
        <w:tc>
          <w:tcPr>
            <w:tcW w:w="829" w:type="pct"/>
            <w:shd w:val="clear" w:color="auto" w:fill="auto"/>
            <w:vAlign w:val="center"/>
            <w:hideMark/>
          </w:tcPr>
          <w:p w14:paraId="24D1BBF2" w14:textId="6BF5ABA7"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133,333</w:t>
            </w:r>
          </w:p>
        </w:tc>
        <w:tc>
          <w:tcPr>
            <w:tcW w:w="625" w:type="pct"/>
            <w:shd w:val="clear" w:color="auto" w:fill="auto"/>
            <w:vAlign w:val="center"/>
            <w:hideMark/>
          </w:tcPr>
          <w:p w14:paraId="1D23EA4A" w14:textId="7AE9F28D"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2,154,667</w:t>
            </w:r>
          </w:p>
        </w:tc>
        <w:tc>
          <w:tcPr>
            <w:tcW w:w="625" w:type="pct"/>
            <w:shd w:val="clear" w:color="auto" w:fill="auto"/>
            <w:vAlign w:val="center"/>
            <w:hideMark/>
          </w:tcPr>
          <w:p w14:paraId="05DFD547" w14:textId="42E7AB3B"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5,333</w:t>
            </w:r>
          </w:p>
        </w:tc>
        <w:tc>
          <w:tcPr>
            <w:tcW w:w="625" w:type="pct"/>
            <w:shd w:val="clear" w:color="auto" w:fill="auto"/>
            <w:vAlign w:val="center"/>
            <w:hideMark/>
          </w:tcPr>
          <w:p w14:paraId="7705C7B3" w14:textId="154225E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3,293,333</w:t>
            </w:r>
          </w:p>
        </w:tc>
      </w:tr>
      <w:tr w:rsidR="003B7009" w:rsidRPr="003B7009" w14:paraId="21DBCA2C" w14:textId="77777777" w:rsidTr="003B7009">
        <w:trPr>
          <w:trHeight w:val="20"/>
        </w:trPr>
        <w:tc>
          <w:tcPr>
            <w:tcW w:w="1467" w:type="pct"/>
            <w:shd w:val="clear" w:color="auto" w:fill="auto"/>
            <w:vAlign w:val="center"/>
            <w:hideMark/>
          </w:tcPr>
          <w:p w14:paraId="13816187"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10.0 Insurance Department</w:t>
            </w:r>
          </w:p>
        </w:tc>
        <w:tc>
          <w:tcPr>
            <w:tcW w:w="829" w:type="pct"/>
            <w:shd w:val="clear" w:color="auto" w:fill="auto"/>
            <w:vAlign w:val="center"/>
            <w:hideMark/>
          </w:tcPr>
          <w:p w14:paraId="658746B7" w14:textId="08F2A99C"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11B0D00C" w14:textId="5863CC99"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110,417</w:t>
            </w:r>
          </w:p>
        </w:tc>
        <w:tc>
          <w:tcPr>
            <w:tcW w:w="625" w:type="pct"/>
            <w:shd w:val="clear" w:color="auto" w:fill="auto"/>
            <w:vAlign w:val="center"/>
            <w:hideMark/>
          </w:tcPr>
          <w:p w14:paraId="472A0F9C" w14:textId="72E1BEB7"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128,083</w:t>
            </w:r>
          </w:p>
        </w:tc>
        <w:tc>
          <w:tcPr>
            <w:tcW w:w="625" w:type="pct"/>
            <w:shd w:val="clear" w:color="auto" w:fill="auto"/>
            <w:vAlign w:val="center"/>
            <w:hideMark/>
          </w:tcPr>
          <w:p w14:paraId="33A5B6CE" w14:textId="7E24909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4,417</w:t>
            </w:r>
          </w:p>
        </w:tc>
        <w:tc>
          <w:tcPr>
            <w:tcW w:w="625" w:type="pct"/>
            <w:shd w:val="clear" w:color="auto" w:fill="auto"/>
            <w:vAlign w:val="center"/>
            <w:hideMark/>
          </w:tcPr>
          <w:p w14:paraId="7762BC39" w14:textId="28A543C8"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242,917</w:t>
            </w:r>
          </w:p>
        </w:tc>
      </w:tr>
      <w:tr w:rsidR="003B7009" w:rsidRPr="003B7009" w14:paraId="6079809D" w14:textId="77777777" w:rsidTr="003B7009">
        <w:trPr>
          <w:trHeight w:val="20"/>
        </w:trPr>
        <w:tc>
          <w:tcPr>
            <w:tcW w:w="1467" w:type="pct"/>
            <w:shd w:val="clear" w:color="auto" w:fill="auto"/>
            <w:vAlign w:val="center"/>
            <w:hideMark/>
          </w:tcPr>
          <w:p w14:paraId="07E7D061"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11.0 Internal Audit Department</w:t>
            </w:r>
          </w:p>
        </w:tc>
        <w:tc>
          <w:tcPr>
            <w:tcW w:w="829" w:type="pct"/>
            <w:shd w:val="clear" w:color="auto" w:fill="auto"/>
            <w:vAlign w:val="center"/>
            <w:hideMark/>
          </w:tcPr>
          <w:p w14:paraId="6331DD45" w14:textId="4CFDE222"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0B029D93" w14:textId="0CE4E47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831,250</w:t>
            </w:r>
          </w:p>
        </w:tc>
        <w:tc>
          <w:tcPr>
            <w:tcW w:w="625" w:type="pct"/>
            <w:shd w:val="clear" w:color="auto" w:fill="auto"/>
            <w:vAlign w:val="center"/>
            <w:hideMark/>
          </w:tcPr>
          <w:p w14:paraId="7E63CD64" w14:textId="7EAE304E"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964,250</w:t>
            </w:r>
          </w:p>
        </w:tc>
        <w:tc>
          <w:tcPr>
            <w:tcW w:w="625" w:type="pct"/>
            <w:shd w:val="clear" w:color="auto" w:fill="auto"/>
            <w:vAlign w:val="center"/>
            <w:hideMark/>
          </w:tcPr>
          <w:p w14:paraId="55CB6FFC" w14:textId="6291631D"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33,250</w:t>
            </w:r>
          </w:p>
        </w:tc>
        <w:tc>
          <w:tcPr>
            <w:tcW w:w="625" w:type="pct"/>
            <w:shd w:val="clear" w:color="auto" w:fill="auto"/>
            <w:vAlign w:val="center"/>
            <w:hideMark/>
          </w:tcPr>
          <w:p w14:paraId="7893FDB8" w14:textId="69349041"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1,828,750</w:t>
            </w:r>
          </w:p>
        </w:tc>
      </w:tr>
      <w:tr w:rsidR="003B7009" w:rsidRPr="003B7009" w14:paraId="15EB5113" w14:textId="77777777" w:rsidTr="003B7009">
        <w:trPr>
          <w:trHeight w:val="20"/>
        </w:trPr>
        <w:tc>
          <w:tcPr>
            <w:tcW w:w="1467" w:type="pct"/>
            <w:shd w:val="clear" w:color="auto" w:fill="auto"/>
            <w:vAlign w:val="center"/>
            <w:hideMark/>
          </w:tcPr>
          <w:p w14:paraId="30480225"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12.0 Programs Implementation and  Coordination General Directorate</w:t>
            </w:r>
          </w:p>
        </w:tc>
        <w:tc>
          <w:tcPr>
            <w:tcW w:w="829" w:type="pct"/>
            <w:shd w:val="clear" w:color="auto" w:fill="auto"/>
            <w:vAlign w:val="center"/>
            <w:hideMark/>
          </w:tcPr>
          <w:p w14:paraId="558709A0" w14:textId="0FE7FB9C"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38892434" w14:textId="75F9A8F1"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125,000</w:t>
            </w:r>
          </w:p>
        </w:tc>
        <w:tc>
          <w:tcPr>
            <w:tcW w:w="625" w:type="pct"/>
            <w:shd w:val="clear" w:color="auto" w:fill="auto"/>
            <w:vAlign w:val="center"/>
            <w:hideMark/>
          </w:tcPr>
          <w:p w14:paraId="003EBA02" w14:textId="6BEB087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145,000</w:t>
            </w:r>
          </w:p>
        </w:tc>
        <w:tc>
          <w:tcPr>
            <w:tcW w:w="625" w:type="pct"/>
            <w:shd w:val="clear" w:color="auto" w:fill="auto"/>
            <w:vAlign w:val="center"/>
            <w:hideMark/>
          </w:tcPr>
          <w:p w14:paraId="01728D69" w14:textId="3FF072ED"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5,000</w:t>
            </w:r>
          </w:p>
        </w:tc>
        <w:tc>
          <w:tcPr>
            <w:tcW w:w="625" w:type="pct"/>
            <w:shd w:val="clear" w:color="auto" w:fill="auto"/>
            <w:vAlign w:val="center"/>
            <w:hideMark/>
          </w:tcPr>
          <w:p w14:paraId="22A7AED8" w14:textId="567400C8"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275,000</w:t>
            </w:r>
          </w:p>
        </w:tc>
      </w:tr>
      <w:tr w:rsidR="003B7009" w:rsidRPr="003B7009" w14:paraId="37B6FD86" w14:textId="77777777" w:rsidTr="003B7009">
        <w:trPr>
          <w:trHeight w:val="20"/>
        </w:trPr>
        <w:tc>
          <w:tcPr>
            <w:tcW w:w="1467" w:type="pct"/>
            <w:shd w:val="clear" w:color="auto" w:fill="auto"/>
            <w:vAlign w:val="center"/>
            <w:hideMark/>
          </w:tcPr>
          <w:p w14:paraId="7F921253"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13.0 Monitoring, Analysis and Reporting General Directorate</w:t>
            </w:r>
          </w:p>
        </w:tc>
        <w:tc>
          <w:tcPr>
            <w:tcW w:w="829" w:type="pct"/>
            <w:shd w:val="clear" w:color="auto" w:fill="auto"/>
            <w:vAlign w:val="center"/>
            <w:hideMark/>
          </w:tcPr>
          <w:p w14:paraId="21D604D9" w14:textId="48F0E235"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2A84B4B4" w14:textId="7A2E7F0E"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50,000</w:t>
            </w:r>
          </w:p>
        </w:tc>
        <w:tc>
          <w:tcPr>
            <w:tcW w:w="625" w:type="pct"/>
            <w:shd w:val="clear" w:color="auto" w:fill="auto"/>
            <w:vAlign w:val="center"/>
            <w:hideMark/>
          </w:tcPr>
          <w:p w14:paraId="401515E3" w14:textId="0402B3A2"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58,000</w:t>
            </w:r>
          </w:p>
        </w:tc>
        <w:tc>
          <w:tcPr>
            <w:tcW w:w="625" w:type="pct"/>
            <w:shd w:val="clear" w:color="auto" w:fill="auto"/>
            <w:vAlign w:val="center"/>
            <w:hideMark/>
          </w:tcPr>
          <w:p w14:paraId="03F57DA9" w14:textId="03CB591B"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2,000</w:t>
            </w:r>
          </w:p>
        </w:tc>
        <w:tc>
          <w:tcPr>
            <w:tcW w:w="625" w:type="pct"/>
            <w:shd w:val="clear" w:color="auto" w:fill="auto"/>
            <w:vAlign w:val="center"/>
            <w:hideMark/>
          </w:tcPr>
          <w:p w14:paraId="7BE267DA" w14:textId="6A33C085"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110,000</w:t>
            </w:r>
          </w:p>
        </w:tc>
      </w:tr>
      <w:tr w:rsidR="003B7009" w:rsidRPr="003B7009" w14:paraId="0C2329B6" w14:textId="77777777" w:rsidTr="003B7009">
        <w:trPr>
          <w:trHeight w:val="20"/>
        </w:trPr>
        <w:tc>
          <w:tcPr>
            <w:tcW w:w="1467" w:type="pct"/>
            <w:shd w:val="clear" w:color="auto" w:fill="auto"/>
            <w:vAlign w:val="center"/>
            <w:hideMark/>
          </w:tcPr>
          <w:p w14:paraId="0228C3BE"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14.0 Reform Implementation Management Unit (RIMU)</w:t>
            </w:r>
          </w:p>
        </w:tc>
        <w:tc>
          <w:tcPr>
            <w:tcW w:w="829" w:type="pct"/>
            <w:shd w:val="clear" w:color="auto" w:fill="auto"/>
            <w:vAlign w:val="center"/>
            <w:hideMark/>
          </w:tcPr>
          <w:p w14:paraId="70E9FD21" w14:textId="5082D938"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5BA0C22A" w14:textId="635F6DCC"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50,000</w:t>
            </w:r>
          </w:p>
        </w:tc>
        <w:tc>
          <w:tcPr>
            <w:tcW w:w="625" w:type="pct"/>
            <w:shd w:val="clear" w:color="auto" w:fill="auto"/>
            <w:vAlign w:val="center"/>
            <w:hideMark/>
          </w:tcPr>
          <w:p w14:paraId="4145BAAC" w14:textId="353C8B56"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58,000</w:t>
            </w:r>
          </w:p>
        </w:tc>
        <w:tc>
          <w:tcPr>
            <w:tcW w:w="625" w:type="pct"/>
            <w:shd w:val="clear" w:color="auto" w:fill="auto"/>
            <w:vAlign w:val="center"/>
            <w:hideMark/>
          </w:tcPr>
          <w:p w14:paraId="2B17242A" w14:textId="419FA34C"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2,000</w:t>
            </w:r>
          </w:p>
        </w:tc>
        <w:tc>
          <w:tcPr>
            <w:tcW w:w="625" w:type="pct"/>
            <w:shd w:val="clear" w:color="auto" w:fill="auto"/>
            <w:vAlign w:val="center"/>
            <w:hideMark/>
          </w:tcPr>
          <w:p w14:paraId="31D32445" w14:textId="31763EB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110,000</w:t>
            </w:r>
          </w:p>
        </w:tc>
      </w:tr>
      <w:tr w:rsidR="003B7009" w:rsidRPr="003B7009" w14:paraId="6B2A898D" w14:textId="77777777" w:rsidTr="003B7009">
        <w:trPr>
          <w:trHeight w:val="20"/>
        </w:trPr>
        <w:tc>
          <w:tcPr>
            <w:tcW w:w="1467" w:type="pct"/>
            <w:shd w:val="clear" w:color="auto" w:fill="auto"/>
            <w:vAlign w:val="center"/>
            <w:hideMark/>
          </w:tcPr>
          <w:p w14:paraId="3C03D8E6"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15.0 Revenue Planning Department</w:t>
            </w:r>
          </w:p>
        </w:tc>
        <w:tc>
          <w:tcPr>
            <w:tcW w:w="829" w:type="pct"/>
            <w:shd w:val="clear" w:color="auto" w:fill="auto"/>
            <w:vAlign w:val="center"/>
            <w:hideMark/>
          </w:tcPr>
          <w:p w14:paraId="7AA4C8B7" w14:textId="7B9A1371"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1EB51A88" w14:textId="5CCE15E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425,000</w:t>
            </w:r>
          </w:p>
        </w:tc>
        <w:tc>
          <w:tcPr>
            <w:tcW w:w="625" w:type="pct"/>
            <w:shd w:val="clear" w:color="auto" w:fill="auto"/>
            <w:vAlign w:val="center"/>
            <w:hideMark/>
          </w:tcPr>
          <w:p w14:paraId="24C7853C" w14:textId="218BBEF1"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493,000</w:t>
            </w:r>
          </w:p>
        </w:tc>
        <w:tc>
          <w:tcPr>
            <w:tcW w:w="625" w:type="pct"/>
            <w:shd w:val="clear" w:color="auto" w:fill="auto"/>
            <w:vAlign w:val="center"/>
            <w:hideMark/>
          </w:tcPr>
          <w:p w14:paraId="154F209F" w14:textId="319E9C2B"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17,000</w:t>
            </w:r>
          </w:p>
        </w:tc>
        <w:tc>
          <w:tcPr>
            <w:tcW w:w="625" w:type="pct"/>
            <w:shd w:val="clear" w:color="auto" w:fill="auto"/>
            <w:vAlign w:val="center"/>
            <w:hideMark/>
          </w:tcPr>
          <w:p w14:paraId="17A334BA" w14:textId="32B72730"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935,000</w:t>
            </w:r>
          </w:p>
        </w:tc>
      </w:tr>
      <w:tr w:rsidR="003B7009" w:rsidRPr="003B7009" w14:paraId="53F52A31" w14:textId="77777777" w:rsidTr="003B7009">
        <w:trPr>
          <w:trHeight w:val="20"/>
        </w:trPr>
        <w:tc>
          <w:tcPr>
            <w:tcW w:w="1467" w:type="pct"/>
            <w:shd w:val="clear" w:color="auto" w:fill="auto"/>
            <w:vAlign w:val="center"/>
            <w:hideMark/>
          </w:tcPr>
          <w:p w14:paraId="59EBD916"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16.0 Macro-Fiscal Performance Department</w:t>
            </w:r>
          </w:p>
        </w:tc>
        <w:tc>
          <w:tcPr>
            <w:tcW w:w="829" w:type="pct"/>
            <w:shd w:val="clear" w:color="auto" w:fill="auto"/>
            <w:vAlign w:val="center"/>
            <w:hideMark/>
          </w:tcPr>
          <w:p w14:paraId="47F40C5D" w14:textId="2705711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788B30C9" w14:textId="7E3FEEA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675,000</w:t>
            </w:r>
          </w:p>
        </w:tc>
        <w:tc>
          <w:tcPr>
            <w:tcW w:w="625" w:type="pct"/>
            <w:shd w:val="clear" w:color="auto" w:fill="auto"/>
            <w:vAlign w:val="center"/>
            <w:hideMark/>
          </w:tcPr>
          <w:p w14:paraId="0EDB8988" w14:textId="417584AC"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783,000</w:t>
            </w:r>
          </w:p>
        </w:tc>
        <w:tc>
          <w:tcPr>
            <w:tcW w:w="625" w:type="pct"/>
            <w:shd w:val="clear" w:color="auto" w:fill="auto"/>
            <w:vAlign w:val="center"/>
            <w:hideMark/>
          </w:tcPr>
          <w:p w14:paraId="1737D949" w14:textId="1207E94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227,000</w:t>
            </w:r>
          </w:p>
        </w:tc>
        <w:tc>
          <w:tcPr>
            <w:tcW w:w="625" w:type="pct"/>
            <w:shd w:val="clear" w:color="auto" w:fill="auto"/>
            <w:vAlign w:val="center"/>
            <w:hideMark/>
          </w:tcPr>
          <w:p w14:paraId="549785CF" w14:textId="0755925C"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1,685,000</w:t>
            </w:r>
          </w:p>
        </w:tc>
      </w:tr>
      <w:tr w:rsidR="003B7009" w:rsidRPr="003B7009" w14:paraId="2DBA5B98" w14:textId="77777777" w:rsidTr="003B7009">
        <w:trPr>
          <w:trHeight w:val="20"/>
        </w:trPr>
        <w:tc>
          <w:tcPr>
            <w:tcW w:w="1467" w:type="pct"/>
            <w:shd w:val="clear" w:color="auto" w:fill="auto"/>
            <w:vAlign w:val="center"/>
            <w:hideMark/>
          </w:tcPr>
          <w:p w14:paraId="7F608B63"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17.0 Aid Management Directorate</w:t>
            </w:r>
          </w:p>
        </w:tc>
        <w:tc>
          <w:tcPr>
            <w:tcW w:w="829" w:type="pct"/>
            <w:shd w:val="clear" w:color="auto" w:fill="auto"/>
            <w:vAlign w:val="center"/>
            <w:hideMark/>
          </w:tcPr>
          <w:p w14:paraId="35D06341" w14:textId="5BCAF6D6"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shd w:val="clear" w:color="auto" w:fill="auto"/>
            <w:vAlign w:val="center"/>
            <w:hideMark/>
          </w:tcPr>
          <w:p w14:paraId="167C8C0F" w14:textId="79E4AF5E"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220,833</w:t>
            </w:r>
          </w:p>
        </w:tc>
        <w:tc>
          <w:tcPr>
            <w:tcW w:w="625" w:type="pct"/>
            <w:shd w:val="clear" w:color="auto" w:fill="auto"/>
            <w:vAlign w:val="center"/>
            <w:hideMark/>
          </w:tcPr>
          <w:p w14:paraId="4315CDF3" w14:textId="533922E8"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256,167</w:t>
            </w:r>
          </w:p>
        </w:tc>
        <w:tc>
          <w:tcPr>
            <w:tcW w:w="625" w:type="pct"/>
            <w:shd w:val="clear" w:color="auto" w:fill="auto"/>
            <w:vAlign w:val="center"/>
            <w:hideMark/>
          </w:tcPr>
          <w:p w14:paraId="368ACD74" w14:textId="5998A375"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8,833</w:t>
            </w:r>
          </w:p>
        </w:tc>
        <w:tc>
          <w:tcPr>
            <w:tcW w:w="625" w:type="pct"/>
            <w:shd w:val="clear" w:color="auto" w:fill="auto"/>
            <w:vAlign w:val="center"/>
            <w:hideMark/>
          </w:tcPr>
          <w:p w14:paraId="05F89D62" w14:textId="140198CD"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485,833</w:t>
            </w:r>
          </w:p>
        </w:tc>
      </w:tr>
      <w:tr w:rsidR="003B7009" w:rsidRPr="003B7009" w14:paraId="5E1C9C0A" w14:textId="77777777" w:rsidTr="00EB4D02">
        <w:trPr>
          <w:trHeight w:val="20"/>
        </w:trPr>
        <w:tc>
          <w:tcPr>
            <w:tcW w:w="1467" w:type="pct"/>
            <w:tcBorders>
              <w:bottom w:val="nil"/>
            </w:tcBorders>
            <w:shd w:val="clear" w:color="auto" w:fill="auto"/>
            <w:vAlign w:val="center"/>
            <w:hideMark/>
          </w:tcPr>
          <w:p w14:paraId="6158A963"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18.0 Office of the President</w:t>
            </w:r>
          </w:p>
        </w:tc>
        <w:tc>
          <w:tcPr>
            <w:tcW w:w="829" w:type="pct"/>
            <w:tcBorders>
              <w:bottom w:val="nil"/>
            </w:tcBorders>
            <w:shd w:val="clear" w:color="auto" w:fill="auto"/>
            <w:vAlign w:val="center"/>
            <w:hideMark/>
          </w:tcPr>
          <w:p w14:paraId="21672CA2" w14:textId="399A42B6"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tcBorders>
              <w:bottom w:val="nil"/>
            </w:tcBorders>
            <w:shd w:val="clear" w:color="auto" w:fill="auto"/>
            <w:vAlign w:val="center"/>
            <w:hideMark/>
          </w:tcPr>
          <w:p w14:paraId="0E280B63" w14:textId="6676F5AD"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175,000</w:t>
            </w:r>
          </w:p>
        </w:tc>
        <w:tc>
          <w:tcPr>
            <w:tcW w:w="625" w:type="pct"/>
            <w:tcBorders>
              <w:bottom w:val="nil"/>
            </w:tcBorders>
            <w:shd w:val="clear" w:color="auto" w:fill="auto"/>
            <w:vAlign w:val="center"/>
            <w:hideMark/>
          </w:tcPr>
          <w:p w14:paraId="314981D9" w14:textId="6DCAC161"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203,000</w:t>
            </w:r>
          </w:p>
        </w:tc>
        <w:tc>
          <w:tcPr>
            <w:tcW w:w="625" w:type="pct"/>
            <w:tcBorders>
              <w:bottom w:val="nil"/>
            </w:tcBorders>
            <w:shd w:val="clear" w:color="auto" w:fill="auto"/>
            <w:vAlign w:val="center"/>
            <w:hideMark/>
          </w:tcPr>
          <w:p w14:paraId="6C07341A" w14:textId="6191859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7,000</w:t>
            </w:r>
          </w:p>
        </w:tc>
        <w:tc>
          <w:tcPr>
            <w:tcW w:w="625" w:type="pct"/>
            <w:tcBorders>
              <w:bottom w:val="nil"/>
            </w:tcBorders>
            <w:shd w:val="clear" w:color="auto" w:fill="auto"/>
            <w:vAlign w:val="center"/>
            <w:hideMark/>
          </w:tcPr>
          <w:p w14:paraId="6B66B437" w14:textId="718AF503"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385,000</w:t>
            </w:r>
          </w:p>
        </w:tc>
      </w:tr>
      <w:tr w:rsidR="003B7009" w:rsidRPr="003B7009" w14:paraId="7A31A8EC" w14:textId="77777777" w:rsidTr="00EB4D02">
        <w:trPr>
          <w:trHeight w:val="20"/>
        </w:trPr>
        <w:tc>
          <w:tcPr>
            <w:tcW w:w="1467" w:type="pct"/>
            <w:tcBorders>
              <w:top w:val="nil"/>
              <w:bottom w:val="single" w:sz="4" w:space="0" w:color="auto"/>
            </w:tcBorders>
            <w:shd w:val="clear" w:color="auto" w:fill="auto"/>
            <w:vAlign w:val="center"/>
            <w:hideMark/>
          </w:tcPr>
          <w:p w14:paraId="0A9B016E" w14:textId="77777777" w:rsidR="003B7009" w:rsidRPr="003B7009" w:rsidRDefault="003B7009" w:rsidP="003B7009">
            <w:pPr>
              <w:rPr>
                <w:rFonts w:asciiTheme="minorHAnsi" w:eastAsia="Times New Roman" w:hAnsiTheme="minorHAnsi"/>
                <w:bCs/>
                <w:color w:val="000000"/>
                <w:sz w:val="14"/>
                <w:szCs w:val="16"/>
                <w:lang w:val="en-GB" w:eastAsia="en-GB"/>
              </w:rPr>
            </w:pPr>
            <w:r w:rsidRPr="003B7009">
              <w:rPr>
                <w:rFonts w:asciiTheme="minorHAnsi" w:eastAsia="Times New Roman" w:hAnsiTheme="minorHAnsi"/>
                <w:bCs/>
                <w:color w:val="000000"/>
                <w:sz w:val="14"/>
                <w:szCs w:val="16"/>
                <w:lang w:val="en-GB" w:eastAsia="en-GB"/>
              </w:rPr>
              <w:t>19.0 Other Partner Agencies</w:t>
            </w:r>
          </w:p>
        </w:tc>
        <w:tc>
          <w:tcPr>
            <w:tcW w:w="829" w:type="pct"/>
            <w:tcBorders>
              <w:top w:val="nil"/>
              <w:bottom w:val="single" w:sz="4" w:space="0" w:color="auto"/>
            </w:tcBorders>
            <w:shd w:val="clear" w:color="auto" w:fill="auto"/>
            <w:vAlign w:val="center"/>
            <w:hideMark/>
          </w:tcPr>
          <w:p w14:paraId="77928B9C" w14:textId="592D32BE"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w:t>
            </w:r>
          </w:p>
        </w:tc>
        <w:tc>
          <w:tcPr>
            <w:tcW w:w="829" w:type="pct"/>
            <w:tcBorders>
              <w:top w:val="nil"/>
              <w:bottom w:val="single" w:sz="4" w:space="0" w:color="auto"/>
            </w:tcBorders>
            <w:shd w:val="clear" w:color="auto" w:fill="auto"/>
            <w:vAlign w:val="center"/>
            <w:hideMark/>
          </w:tcPr>
          <w:p w14:paraId="4C02D7C8" w14:textId="26A9A114"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41,667</w:t>
            </w:r>
          </w:p>
        </w:tc>
        <w:tc>
          <w:tcPr>
            <w:tcW w:w="625" w:type="pct"/>
            <w:tcBorders>
              <w:top w:val="nil"/>
              <w:bottom w:val="single" w:sz="4" w:space="0" w:color="auto"/>
            </w:tcBorders>
            <w:shd w:val="clear" w:color="auto" w:fill="auto"/>
            <w:vAlign w:val="center"/>
            <w:hideMark/>
          </w:tcPr>
          <w:p w14:paraId="241CF417" w14:textId="794CE34E"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48,333</w:t>
            </w:r>
          </w:p>
        </w:tc>
        <w:tc>
          <w:tcPr>
            <w:tcW w:w="625" w:type="pct"/>
            <w:tcBorders>
              <w:top w:val="nil"/>
              <w:bottom w:val="single" w:sz="4" w:space="0" w:color="auto"/>
            </w:tcBorders>
            <w:shd w:val="clear" w:color="auto" w:fill="auto"/>
            <w:vAlign w:val="center"/>
            <w:hideMark/>
          </w:tcPr>
          <w:p w14:paraId="05CCE76F" w14:textId="3502908F"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1,667</w:t>
            </w:r>
          </w:p>
        </w:tc>
        <w:tc>
          <w:tcPr>
            <w:tcW w:w="625" w:type="pct"/>
            <w:tcBorders>
              <w:top w:val="nil"/>
              <w:bottom w:val="single" w:sz="4" w:space="0" w:color="auto"/>
            </w:tcBorders>
            <w:shd w:val="clear" w:color="auto" w:fill="auto"/>
            <w:vAlign w:val="center"/>
            <w:hideMark/>
          </w:tcPr>
          <w:p w14:paraId="20D72EF8" w14:textId="0CD534B1" w:rsidR="003B7009" w:rsidRPr="003B7009" w:rsidRDefault="003B7009" w:rsidP="003B7009">
            <w:pPr>
              <w:jc w:val="center"/>
              <w:rPr>
                <w:rFonts w:asciiTheme="minorHAnsi" w:eastAsia="Times New Roman" w:hAnsiTheme="minorHAnsi"/>
                <w:bCs/>
                <w:sz w:val="14"/>
                <w:szCs w:val="16"/>
                <w:lang w:val="en-GB" w:eastAsia="en-GB"/>
              </w:rPr>
            </w:pPr>
            <w:r w:rsidRPr="003B7009">
              <w:rPr>
                <w:rFonts w:asciiTheme="minorHAnsi" w:eastAsia="Times New Roman" w:hAnsiTheme="minorHAnsi"/>
                <w:bCs/>
                <w:sz w:val="14"/>
                <w:szCs w:val="16"/>
                <w:lang w:val="en-GB" w:eastAsia="en-GB"/>
              </w:rPr>
              <w:t>91,667</w:t>
            </w:r>
          </w:p>
        </w:tc>
      </w:tr>
      <w:tr w:rsidR="00EB4D02" w:rsidRPr="00EB4D02" w14:paraId="2044E887" w14:textId="77777777" w:rsidTr="00EB4D02">
        <w:trPr>
          <w:trHeight w:val="20"/>
        </w:trPr>
        <w:tc>
          <w:tcPr>
            <w:tcW w:w="1467" w:type="pct"/>
            <w:tcBorders>
              <w:top w:val="single" w:sz="4" w:space="0" w:color="auto"/>
              <w:bottom w:val="single" w:sz="4" w:space="0" w:color="auto"/>
            </w:tcBorders>
            <w:shd w:val="clear" w:color="auto" w:fill="ACD6A7" w:themeFill="accent4" w:themeFillTint="99"/>
            <w:vAlign w:val="center"/>
            <w:hideMark/>
          </w:tcPr>
          <w:p w14:paraId="7E40EBF8" w14:textId="77777777" w:rsidR="00EB4D02" w:rsidRDefault="00EB4D02" w:rsidP="00EB4D02">
            <w:pPr>
              <w:rPr>
                <w:rFonts w:asciiTheme="minorHAnsi" w:eastAsia="Times New Roman" w:hAnsiTheme="minorHAnsi"/>
                <w:b/>
                <w:bCs/>
                <w:color w:val="000000"/>
                <w:sz w:val="14"/>
                <w:szCs w:val="16"/>
                <w:lang w:val="en-GB" w:eastAsia="en-GB"/>
              </w:rPr>
            </w:pPr>
            <w:r w:rsidRPr="00EB4D02">
              <w:rPr>
                <w:rFonts w:asciiTheme="minorHAnsi" w:eastAsia="Times New Roman" w:hAnsiTheme="minorHAnsi"/>
                <w:b/>
                <w:bCs/>
                <w:color w:val="000000"/>
                <w:sz w:val="14"/>
                <w:szCs w:val="16"/>
                <w:lang w:val="en-GB" w:eastAsia="en-GB"/>
              </w:rPr>
              <w:t>Grand Total</w:t>
            </w:r>
            <w:r>
              <w:rPr>
                <w:rFonts w:asciiTheme="minorHAnsi" w:eastAsia="Times New Roman" w:hAnsiTheme="minorHAnsi"/>
                <w:b/>
                <w:bCs/>
                <w:color w:val="000000"/>
                <w:sz w:val="14"/>
                <w:szCs w:val="16"/>
                <w:lang w:val="en-GB" w:eastAsia="en-GB"/>
              </w:rPr>
              <w:t xml:space="preserve"> </w:t>
            </w:r>
          </w:p>
          <w:p w14:paraId="247A9D47" w14:textId="0055FFBF" w:rsidR="00EB4D02" w:rsidRPr="003B7009" w:rsidRDefault="00EB4D02" w:rsidP="00EB4D02">
            <w:pPr>
              <w:rPr>
                <w:rFonts w:asciiTheme="minorHAnsi" w:eastAsia="Times New Roman" w:hAnsiTheme="minorHAnsi"/>
                <w:b/>
                <w:bCs/>
                <w:color w:val="000000"/>
                <w:sz w:val="14"/>
                <w:szCs w:val="16"/>
                <w:lang w:val="en-GB" w:eastAsia="en-GB"/>
              </w:rPr>
            </w:pPr>
            <w:r>
              <w:rPr>
                <w:rFonts w:asciiTheme="minorHAnsi" w:eastAsia="Times New Roman" w:hAnsiTheme="minorHAnsi"/>
                <w:b/>
                <w:bCs/>
                <w:color w:val="000000"/>
                <w:sz w:val="14"/>
                <w:szCs w:val="16"/>
                <w:lang w:val="en-GB" w:eastAsia="en-GB"/>
              </w:rPr>
              <w:t>(excl. Unallocated)</w:t>
            </w:r>
          </w:p>
        </w:tc>
        <w:tc>
          <w:tcPr>
            <w:tcW w:w="829" w:type="pct"/>
            <w:tcBorders>
              <w:top w:val="single" w:sz="4" w:space="0" w:color="auto"/>
              <w:bottom w:val="single" w:sz="4" w:space="0" w:color="auto"/>
            </w:tcBorders>
            <w:shd w:val="clear" w:color="auto" w:fill="ACD6A7" w:themeFill="accent4" w:themeFillTint="99"/>
            <w:vAlign w:val="center"/>
            <w:hideMark/>
          </w:tcPr>
          <w:p w14:paraId="0EF07EFE" w14:textId="6A5B5E67" w:rsidR="00EB4D02" w:rsidRPr="003B7009" w:rsidRDefault="00EB4D02" w:rsidP="00EB4D02">
            <w:pPr>
              <w:rPr>
                <w:rFonts w:asciiTheme="minorHAnsi" w:eastAsia="Times New Roman" w:hAnsiTheme="minorHAnsi"/>
                <w:b/>
                <w:bCs/>
                <w:color w:val="000000"/>
                <w:sz w:val="14"/>
                <w:szCs w:val="16"/>
                <w:lang w:val="en-GB" w:eastAsia="en-GB"/>
              </w:rPr>
            </w:pPr>
            <w:r w:rsidRPr="00EB4D02">
              <w:rPr>
                <w:rFonts w:asciiTheme="minorHAnsi" w:eastAsia="Times New Roman" w:hAnsiTheme="minorHAnsi"/>
                <w:b/>
                <w:bCs/>
                <w:color w:val="000000"/>
                <w:sz w:val="14"/>
                <w:szCs w:val="16"/>
                <w:lang w:val="en-GB" w:eastAsia="en-GB"/>
              </w:rPr>
              <w:t>1,000,000</w:t>
            </w:r>
          </w:p>
        </w:tc>
        <w:tc>
          <w:tcPr>
            <w:tcW w:w="829" w:type="pct"/>
            <w:tcBorders>
              <w:top w:val="single" w:sz="4" w:space="0" w:color="auto"/>
              <w:bottom w:val="single" w:sz="4" w:space="0" w:color="auto"/>
            </w:tcBorders>
            <w:shd w:val="clear" w:color="auto" w:fill="ACD6A7" w:themeFill="accent4" w:themeFillTint="99"/>
            <w:vAlign w:val="center"/>
            <w:hideMark/>
          </w:tcPr>
          <w:p w14:paraId="3B4493B7" w14:textId="3FD762D4" w:rsidR="00EB4D02" w:rsidRPr="003B7009" w:rsidRDefault="00EB4D02" w:rsidP="00EB4D02">
            <w:pPr>
              <w:rPr>
                <w:rFonts w:asciiTheme="minorHAnsi" w:eastAsia="Times New Roman" w:hAnsiTheme="minorHAnsi"/>
                <w:b/>
                <w:bCs/>
                <w:color w:val="000000"/>
                <w:sz w:val="14"/>
                <w:szCs w:val="16"/>
                <w:lang w:val="en-GB" w:eastAsia="en-GB"/>
              </w:rPr>
            </w:pPr>
            <w:r w:rsidRPr="00EB4D02">
              <w:rPr>
                <w:rFonts w:asciiTheme="minorHAnsi" w:eastAsia="Times New Roman" w:hAnsiTheme="minorHAnsi"/>
                <w:b/>
                <w:bCs/>
                <w:color w:val="000000"/>
                <w:sz w:val="14"/>
                <w:szCs w:val="16"/>
                <w:lang w:val="en-GB" w:eastAsia="en-GB"/>
              </w:rPr>
              <w:t>10,414,167</w:t>
            </w:r>
          </w:p>
        </w:tc>
        <w:tc>
          <w:tcPr>
            <w:tcW w:w="625" w:type="pct"/>
            <w:tcBorders>
              <w:top w:val="single" w:sz="4" w:space="0" w:color="auto"/>
              <w:bottom w:val="single" w:sz="4" w:space="0" w:color="auto"/>
            </w:tcBorders>
            <w:shd w:val="clear" w:color="auto" w:fill="ACD6A7" w:themeFill="accent4" w:themeFillTint="99"/>
            <w:vAlign w:val="center"/>
            <w:hideMark/>
          </w:tcPr>
          <w:p w14:paraId="50E3AB39" w14:textId="5C301103" w:rsidR="00EB4D02" w:rsidRPr="003B7009" w:rsidRDefault="00EB4D02" w:rsidP="00EB4D02">
            <w:pPr>
              <w:rPr>
                <w:rFonts w:asciiTheme="minorHAnsi" w:eastAsia="Times New Roman" w:hAnsiTheme="minorHAnsi"/>
                <w:b/>
                <w:bCs/>
                <w:color w:val="000000"/>
                <w:sz w:val="14"/>
                <w:szCs w:val="16"/>
                <w:lang w:val="en-GB" w:eastAsia="en-GB"/>
              </w:rPr>
            </w:pPr>
            <w:r w:rsidRPr="00EB4D02">
              <w:rPr>
                <w:rFonts w:asciiTheme="minorHAnsi" w:eastAsia="Times New Roman" w:hAnsiTheme="minorHAnsi"/>
                <w:b/>
                <w:bCs/>
                <w:color w:val="000000"/>
                <w:sz w:val="14"/>
                <w:szCs w:val="16"/>
                <w:lang w:val="en-GB" w:eastAsia="en-GB"/>
              </w:rPr>
              <w:t>14,580,433</w:t>
            </w:r>
          </w:p>
        </w:tc>
        <w:tc>
          <w:tcPr>
            <w:tcW w:w="625" w:type="pct"/>
            <w:tcBorders>
              <w:top w:val="single" w:sz="4" w:space="0" w:color="auto"/>
              <w:bottom w:val="single" w:sz="4" w:space="0" w:color="auto"/>
            </w:tcBorders>
            <w:shd w:val="clear" w:color="auto" w:fill="ACD6A7" w:themeFill="accent4" w:themeFillTint="99"/>
            <w:vAlign w:val="center"/>
            <w:hideMark/>
          </w:tcPr>
          <w:p w14:paraId="492C7815" w14:textId="787A2FE5" w:rsidR="00EB4D02" w:rsidRPr="003B7009" w:rsidRDefault="00EB4D02" w:rsidP="00EB4D02">
            <w:pPr>
              <w:rPr>
                <w:rFonts w:asciiTheme="minorHAnsi" w:eastAsia="Times New Roman" w:hAnsiTheme="minorHAnsi"/>
                <w:b/>
                <w:bCs/>
                <w:color w:val="000000"/>
                <w:sz w:val="14"/>
                <w:szCs w:val="16"/>
                <w:lang w:val="en-GB" w:eastAsia="en-GB"/>
              </w:rPr>
            </w:pPr>
            <w:r w:rsidRPr="00EB4D02">
              <w:rPr>
                <w:rFonts w:asciiTheme="minorHAnsi" w:eastAsia="Times New Roman" w:hAnsiTheme="minorHAnsi"/>
                <w:b/>
                <w:bCs/>
                <w:color w:val="000000"/>
                <w:sz w:val="14"/>
                <w:szCs w:val="16"/>
                <w:lang w:val="en-GB" w:eastAsia="en-GB"/>
              </w:rPr>
              <w:t>7,316,567</w:t>
            </w:r>
          </w:p>
        </w:tc>
        <w:tc>
          <w:tcPr>
            <w:tcW w:w="625" w:type="pct"/>
            <w:tcBorders>
              <w:top w:val="single" w:sz="4" w:space="0" w:color="auto"/>
              <w:bottom w:val="single" w:sz="4" w:space="0" w:color="auto"/>
            </w:tcBorders>
            <w:shd w:val="clear" w:color="auto" w:fill="ACD6A7" w:themeFill="accent4" w:themeFillTint="99"/>
            <w:vAlign w:val="center"/>
            <w:hideMark/>
          </w:tcPr>
          <w:p w14:paraId="4A079751" w14:textId="5B651182" w:rsidR="00EB4D02" w:rsidRPr="003B7009" w:rsidRDefault="00EB4D02" w:rsidP="00EB4D02">
            <w:pPr>
              <w:rPr>
                <w:rFonts w:asciiTheme="minorHAnsi" w:eastAsia="Times New Roman" w:hAnsiTheme="minorHAnsi"/>
                <w:b/>
                <w:bCs/>
                <w:color w:val="000000"/>
                <w:sz w:val="14"/>
                <w:szCs w:val="16"/>
                <w:lang w:val="en-GB" w:eastAsia="en-GB"/>
              </w:rPr>
            </w:pPr>
            <w:r w:rsidRPr="00EB4D02">
              <w:rPr>
                <w:rFonts w:asciiTheme="minorHAnsi" w:eastAsia="Times New Roman" w:hAnsiTheme="minorHAnsi"/>
                <w:b/>
                <w:bCs/>
                <w:color w:val="000000"/>
                <w:sz w:val="14"/>
                <w:szCs w:val="16"/>
                <w:lang w:val="en-GB" w:eastAsia="en-GB"/>
              </w:rPr>
              <w:t>99,236,833</w:t>
            </w:r>
          </w:p>
        </w:tc>
      </w:tr>
    </w:tbl>
    <w:p w14:paraId="7CD5CD26" w14:textId="5074C43D" w:rsidR="003B7009" w:rsidRDefault="003B7009" w:rsidP="00695C2E">
      <w:pPr>
        <w:pStyle w:val="Numberedpara"/>
        <w:numPr>
          <w:ilvl w:val="0"/>
          <w:numId w:val="0"/>
        </w:numPr>
        <w:ind w:left="360" w:hanging="360"/>
      </w:pPr>
    </w:p>
    <w:p w14:paraId="2A992ACF" w14:textId="77777777" w:rsidR="003B7361" w:rsidRPr="000234C1" w:rsidRDefault="003B7361" w:rsidP="00695C2E">
      <w:pPr>
        <w:pStyle w:val="Numberedpara"/>
        <w:numPr>
          <w:ilvl w:val="0"/>
          <w:numId w:val="0"/>
        </w:numPr>
        <w:ind w:left="360" w:hanging="360"/>
      </w:pPr>
    </w:p>
    <w:p w14:paraId="48E46290" w14:textId="23AA1CFF" w:rsidR="009776B9" w:rsidRPr="00FE5C2E" w:rsidRDefault="009776B9" w:rsidP="00060715">
      <w:pPr>
        <w:pStyle w:val="Heading2"/>
      </w:pPr>
      <w:bookmarkStart w:id="72" w:name="_Toc457162626"/>
      <w:r>
        <w:t>Government’s Sector Budget Support Policy Framework</w:t>
      </w:r>
      <w:bookmarkEnd w:id="72"/>
    </w:p>
    <w:p w14:paraId="4AB4F311" w14:textId="3C6C8303" w:rsidR="001B3691" w:rsidRDefault="002376CE" w:rsidP="001B3691">
      <w:pPr>
        <w:pStyle w:val="Numberedpara"/>
      </w:pPr>
      <w:r w:rsidRPr="00EC65C8">
        <w:rPr>
          <w:b/>
        </w:rPr>
        <w:t>The purpose of this section is to provide a</w:t>
      </w:r>
      <w:r w:rsidR="000234C1">
        <w:rPr>
          <w:b/>
        </w:rPr>
        <w:t>n outline</w:t>
      </w:r>
      <w:r w:rsidRPr="00EC65C8">
        <w:rPr>
          <w:b/>
        </w:rPr>
        <w:t xml:space="preserve"> </w:t>
      </w:r>
      <w:r w:rsidR="000234C1">
        <w:rPr>
          <w:b/>
        </w:rPr>
        <w:t>of a proposal</w:t>
      </w:r>
      <w:r w:rsidR="001B3691">
        <w:rPr>
          <w:b/>
        </w:rPr>
        <w:t xml:space="preserve"> by</w:t>
      </w:r>
      <w:r w:rsidRPr="00EC65C8">
        <w:rPr>
          <w:b/>
        </w:rPr>
        <w:t xml:space="preserve"> the Government </w:t>
      </w:r>
      <w:r w:rsidR="00B81CAF">
        <w:rPr>
          <w:b/>
        </w:rPr>
        <w:t>to establish a f</w:t>
      </w:r>
      <w:r w:rsidRPr="00EC65C8">
        <w:rPr>
          <w:b/>
        </w:rPr>
        <w:t>ramework</w:t>
      </w:r>
      <w:r w:rsidRPr="00E72F5D">
        <w:t xml:space="preserve"> to support implementation of the Public Fina</w:t>
      </w:r>
      <w:r w:rsidR="009E47FD">
        <w:t>ncial Manageme</w:t>
      </w:r>
      <w:r w:rsidR="00B81CAF">
        <w:t>nt Roadmap II. T</w:t>
      </w:r>
      <w:r w:rsidRPr="00E72F5D">
        <w:t>his PFMRII Program Budget Support Framework (the Framework) form</w:t>
      </w:r>
      <w:r w:rsidR="00B81CAF">
        <w:t>s</w:t>
      </w:r>
      <w:r w:rsidRPr="00E72F5D">
        <w:t xml:space="preserve"> a part of the Government’s broader foreign assistance and aid management policy. This section provides a short summary of key areas for the Government and development partners to discuss with the view to securing in-principle agreements.</w:t>
      </w:r>
      <w:r w:rsidR="001B3691">
        <w:t xml:space="preserve"> For details</w:t>
      </w:r>
      <w:r w:rsidR="00F7586E">
        <w:t>,</w:t>
      </w:r>
      <w:r w:rsidR="001B3691">
        <w:t xml:space="preserve"> see Attachment D.</w:t>
      </w:r>
      <w:r w:rsidRPr="00E72F5D">
        <w:t xml:space="preserve"> </w:t>
      </w:r>
    </w:p>
    <w:p w14:paraId="01B1978B" w14:textId="5C007904" w:rsidR="00A22B3C" w:rsidRDefault="00A22B3C" w:rsidP="001B3691">
      <w:pPr>
        <w:pStyle w:val="Numberedpara"/>
      </w:pPr>
      <w:r>
        <w:rPr>
          <w:b/>
        </w:rPr>
        <w:t>The Gov</w:t>
      </w:r>
      <w:r w:rsidR="00F7586E">
        <w:rPr>
          <w:b/>
        </w:rPr>
        <w:t>ernment’s goal is to secure flexible arrangements,</w:t>
      </w:r>
      <w:r>
        <w:rPr>
          <w:b/>
        </w:rPr>
        <w:t xml:space="preserve"> through targeted, sector budget support, based on mutually agreed results and sharing of risk. </w:t>
      </w:r>
      <w:r>
        <w:t>As already no</w:t>
      </w:r>
      <w:r w:rsidR="00F7586E">
        <w:t xml:space="preserve">ted in this plan, the Government has much work to do </w:t>
      </w:r>
      <w:r>
        <w:t>in order to make that possible, but this proposal is a first step to establishing the preconditions that must be in place.</w:t>
      </w:r>
    </w:p>
    <w:p w14:paraId="44253C60" w14:textId="722346B4" w:rsidR="003F5716" w:rsidRDefault="002376CE" w:rsidP="003F5716">
      <w:pPr>
        <w:pStyle w:val="Numberedpara"/>
      </w:pPr>
      <w:r w:rsidRPr="00E72F5D">
        <w:t xml:space="preserve">While the precise preconditions will need to be negotiated, </w:t>
      </w:r>
      <w:r w:rsidR="00A22B3C">
        <w:t xml:space="preserve">and validated by independent assessment, </w:t>
      </w:r>
      <w:r w:rsidRPr="00E72F5D">
        <w:t>they can be broadly summarized in the following five areas:</w:t>
      </w:r>
    </w:p>
    <w:p w14:paraId="5D2794F6" w14:textId="77777777" w:rsidR="003F5716" w:rsidRPr="00EC65C8" w:rsidRDefault="003F5716" w:rsidP="003F5716"/>
    <w:p w14:paraId="4313C764" w14:textId="44284F35" w:rsidR="002376CE" w:rsidRPr="00F7586E" w:rsidRDefault="002376CE" w:rsidP="002376CE">
      <w:pPr>
        <w:pStyle w:val="ListParagraph"/>
        <w:numPr>
          <w:ilvl w:val="0"/>
          <w:numId w:val="26"/>
        </w:numPr>
        <w:autoSpaceDE w:val="0"/>
        <w:autoSpaceDN w:val="0"/>
        <w:adjustRightInd w:val="0"/>
        <w:rPr>
          <w:sz w:val="22"/>
          <w:szCs w:val="22"/>
          <w:u w:val="single"/>
          <w:lang w:val="en-GB"/>
        </w:rPr>
      </w:pPr>
      <w:r w:rsidRPr="00F7586E">
        <w:rPr>
          <w:bCs/>
          <w:sz w:val="22"/>
          <w:szCs w:val="22"/>
          <w:u w:val="single"/>
          <w:lang w:val="en-GB"/>
        </w:rPr>
        <w:lastRenderedPageBreak/>
        <w:t>Macroeconomic stability</w:t>
      </w:r>
      <w:r w:rsidR="001B3691" w:rsidRPr="00F7586E">
        <w:rPr>
          <w:bCs/>
          <w:sz w:val="22"/>
          <w:szCs w:val="22"/>
          <w:u w:val="single"/>
          <w:lang w:val="en-GB"/>
        </w:rPr>
        <w:t>;</w:t>
      </w:r>
      <w:r w:rsidRPr="00F7586E">
        <w:rPr>
          <w:sz w:val="22"/>
          <w:szCs w:val="22"/>
          <w:u w:val="single"/>
          <w:lang w:val="en-GB"/>
        </w:rPr>
        <w:br/>
      </w:r>
    </w:p>
    <w:p w14:paraId="68D526EF" w14:textId="40571DC5" w:rsidR="002376CE" w:rsidRPr="00F7586E" w:rsidRDefault="002376CE" w:rsidP="002376CE">
      <w:pPr>
        <w:pStyle w:val="ListParagraph"/>
        <w:numPr>
          <w:ilvl w:val="0"/>
          <w:numId w:val="26"/>
        </w:numPr>
        <w:autoSpaceDE w:val="0"/>
        <w:autoSpaceDN w:val="0"/>
        <w:adjustRightInd w:val="0"/>
        <w:rPr>
          <w:sz w:val="22"/>
          <w:szCs w:val="22"/>
          <w:u w:val="single"/>
          <w:lang w:val="en-GB"/>
        </w:rPr>
      </w:pPr>
      <w:r w:rsidRPr="00F7586E">
        <w:rPr>
          <w:bCs/>
          <w:sz w:val="22"/>
          <w:szCs w:val="22"/>
          <w:u w:val="single"/>
          <w:lang w:val="en-GB"/>
        </w:rPr>
        <w:t>A strategy for ref</w:t>
      </w:r>
      <w:r w:rsidR="001B3691" w:rsidRPr="00F7586E">
        <w:rPr>
          <w:bCs/>
          <w:sz w:val="22"/>
          <w:szCs w:val="22"/>
          <w:u w:val="single"/>
          <w:lang w:val="en-GB"/>
        </w:rPr>
        <w:t>orm</w:t>
      </w:r>
      <w:r w:rsidR="001B3691" w:rsidRPr="00F7586E">
        <w:rPr>
          <w:sz w:val="22"/>
          <w:szCs w:val="22"/>
          <w:u w:val="single"/>
          <w:lang w:val="en-GB"/>
        </w:rPr>
        <w:t>;</w:t>
      </w:r>
      <w:r w:rsidRPr="00F7586E">
        <w:rPr>
          <w:sz w:val="22"/>
          <w:szCs w:val="22"/>
          <w:u w:val="single"/>
          <w:lang w:val="en-GB"/>
        </w:rPr>
        <w:br/>
      </w:r>
    </w:p>
    <w:p w14:paraId="54439655" w14:textId="38A68F45" w:rsidR="002376CE" w:rsidRPr="00F7586E" w:rsidRDefault="001B3691" w:rsidP="002376CE">
      <w:pPr>
        <w:pStyle w:val="ListParagraph"/>
        <w:numPr>
          <w:ilvl w:val="0"/>
          <w:numId w:val="26"/>
        </w:numPr>
        <w:autoSpaceDE w:val="0"/>
        <w:autoSpaceDN w:val="0"/>
        <w:adjustRightInd w:val="0"/>
        <w:rPr>
          <w:sz w:val="22"/>
          <w:szCs w:val="22"/>
          <w:u w:val="single"/>
          <w:lang w:val="en-GB"/>
        </w:rPr>
      </w:pPr>
      <w:r w:rsidRPr="00F7586E">
        <w:rPr>
          <w:bCs/>
          <w:sz w:val="22"/>
          <w:szCs w:val="22"/>
          <w:u w:val="single"/>
          <w:lang w:val="en-GB"/>
        </w:rPr>
        <w:t>Budget transparency;</w:t>
      </w:r>
      <w:r w:rsidR="002376CE" w:rsidRPr="00F7586E">
        <w:rPr>
          <w:sz w:val="22"/>
          <w:szCs w:val="22"/>
          <w:u w:val="single"/>
          <w:lang w:val="en-GB"/>
        </w:rPr>
        <w:t xml:space="preserve"> </w:t>
      </w:r>
      <w:r w:rsidR="002376CE" w:rsidRPr="00F7586E">
        <w:rPr>
          <w:sz w:val="22"/>
          <w:szCs w:val="22"/>
          <w:u w:val="single"/>
          <w:lang w:val="en-GB"/>
        </w:rPr>
        <w:br/>
      </w:r>
    </w:p>
    <w:p w14:paraId="3FEB3038" w14:textId="1CB1EED5" w:rsidR="002376CE" w:rsidRPr="00F7586E" w:rsidRDefault="001B3691" w:rsidP="002376CE">
      <w:pPr>
        <w:pStyle w:val="ListParagraph"/>
        <w:numPr>
          <w:ilvl w:val="0"/>
          <w:numId w:val="26"/>
        </w:numPr>
        <w:autoSpaceDE w:val="0"/>
        <w:autoSpaceDN w:val="0"/>
        <w:adjustRightInd w:val="0"/>
        <w:rPr>
          <w:sz w:val="22"/>
          <w:szCs w:val="22"/>
          <w:u w:val="single"/>
          <w:lang w:val="en-GB"/>
        </w:rPr>
      </w:pPr>
      <w:r w:rsidRPr="00F7586E">
        <w:rPr>
          <w:bCs/>
          <w:sz w:val="22"/>
          <w:szCs w:val="22"/>
          <w:u w:val="single"/>
          <w:lang w:val="en-GB"/>
        </w:rPr>
        <w:t>Political Commitment</w:t>
      </w:r>
      <w:r w:rsidR="002376CE" w:rsidRPr="00F7586E">
        <w:rPr>
          <w:sz w:val="22"/>
          <w:szCs w:val="22"/>
          <w:u w:val="single"/>
          <w:lang w:val="en-GB"/>
        </w:rPr>
        <w:t>; and</w:t>
      </w:r>
      <w:r w:rsidR="002376CE" w:rsidRPr="00F7586E">
        <w:rPr>
          <w:sz w:val="22"/>
          <w:szCs w:val="22"/>
          <w:u w:val="single"/>
          <w:lang w:val="en-GB"/>
        </w:rPr>
        <w:br/>
      </w:r>
    </w:p>
    <w:p w14:paraId="3CA5990E" w14:textId="7124324C" w:rsidR="002376CE" w:rsidRPr="00F7586E" w:rsidRDefault="002376CE" w:rsidP="002376CE">
      <w:pPr>
        <w:pStyle w:val="ListParagraph"/>
        <w:numPr>
          <w:ilvl w:val="0"/>
          <w:numId w:val="26"/>
        </w:numPr>
        <w:autoSpaceDE w:val="0"/>
        <w:autoSpaceDN w:val="0"/>
        <w:adjustRightInd w:val="0"/>
        <w:rPr>
          <w:sz w:val="22"/>
          <w:szCs w:val="22"/>
          <w:u w:val="single"/>
          <w:lang w:val="en-GB"/>
        </w:rPr>
      </w:pPr>
      <w:r w:rsidRPr="00F7586E">
        <w:rPr>
          <w:bCs/>
          <w:sz w:val="22"/>
          <w:szCs w:val="22"/>
          <w:u w:val="single"/>
          <w:lang w:val="en-GB"/>
        </w:rPr>
        <w:t>Risk Management</w:t>
      </w:r>
      <w:r w:rsidRPr="00F7586E">
        <w:rPr>
          <w:sz w:val="22"/>
          <w:szCs w:val="22"/>
          <w:u w:val="single"/>
          <w:lang w:val="en-GB"/>
        </w:rPr>
        <w:t xml:space="preserve">. </w:t>
      </w:r>
    </w:p>
    <w:p w14:paraId="37ED7737" w14:textId="77777777" w:rsidR="002376CE" w:rsidRPr="001B3691" w:rsidRDefault="002376CE" w:rsidP="002376CE">
      <w:pPr>
        <w:jc w:val="both"/>
        <w:rPr>
          <w:bCs/>
          <w:sz w:val="2"/>
          <w:szCs w:val="2"/>
          <w:u w:val="single"/>
          <w:lang w:val="en-GB"/>
        </w:rPr>
      </w:pPr>
    </w:p>
    <w:p w14:paraId="45BB2AC5" w14:textId="77777777" w:rsidR="00E72F5D" w:rsidRDefault="00E72F5D" w:rsidP="002376CE">
      <w:pPr>
        <w:jc w:val="both"/>
        <w:rPr>
          <w:rFonts w:asciiTheme="minorHAnsi" w:hAnsiTheme="minorHAnsi" w:cstheme="minorBidi"/>
          <w:color w:val="5F5F5F" w:themeColor="text2" w:themeTint="BF"/>
          <w:sz w:val="22"/>
          <w:lang w:val="en-GB" w:eastAsia="ja-JP"/>
        </w:rPr>
      </w:pPr>
    </w:p>
    <w:p w14:paraId="2C035D9C" w14:textId="77777777" w:rsidR="002376CE" w:rsidRPr="00E72F5D" w:rsidRDefault="002376CE" w:rsidP="00EC65C8">
      <w:pPr>
        <w:pStyle w:val="Numberedpara"/>
      </w:pPr>
      <w:r w:rsidRPr="00EC65C8">
        <w:rPr>
          <w:b/>
        </w:rPr>
        <w:t xml:space="preserve">The partnership principles developed by the g7+ and set out in the New Deal provide a good basis </w:t>
      </w:r>
      <w:r w:rsidRPr="00E72F5D">
        <w:t xml:space="preserve">for partnerships between the Government and donors: </w:t>
      </w:r>
    </w:p>
    <w:p w14:paraId="182B0157" w14:textId="77777777" w:rsidR="002376CE" w:rsidRPr="007574CE" w:rsidRDefault="002376CE" w:rsidP="00333F8B">
      <w:pPr>
        <w:pStyle w:val="Numberedbullet"/>
      </w:pPr>
      <w:r w:rsidRPr="00EC65C8">
        <w:rPr>
          <w:b/>
          <w:iCs/>
          <w:color w:val="00B050"/>
        </w:rPr>
        <w:t>FOCUS</w:t>
      </w:r>
      <w:r w:rsidRPr="00EC65C8">
        <w:rPr>
          <w:color w:val="00B050"/>
        </w:rPr>
        <w:t xml:space="preserve"> </w:t>
      </w:r>
      <w:r w:rsidRPr="007574CE">
        <w:t xml:space="preserve">on supporting inclusive country-led and country-owned transitions out of fragility (especially support for one vision, one plan, political dialogue and leadership); and </w:t>
      </w:r>
    </w:p>
    <w:p w14:paraId="41A9C8E0" w14:textId="3B6ADF98" w:rsidR="00E72F5D" w:rsidRPr="001B3691" w:rsidRDefault="002376CE" w:rsidP="001B3691">
      <w:pPr>
        <w:pStyle w:val="Numberedbullet"/>
      </w:pPr>
      <w:r w:rsidRPr="00EC65C8">
        <w:rPr>
          <w:rStyle w:val="NumberedbulletChar"/>
          <w:b/>
          <w:color w:val="00B050"/>
        </w:rPr>
        <w:t>TRUST</w:t>
      </w:r>
      <w:r w:rsidRPr="00EC65C8">
        <w:rPr>
          <w:color w:val="00B050"/>
        </w:rPr>
        <w:t xml:space="preserve"> </w:t>
      </w:r>
      <w:r w:rsidRPr="007574CE">
        <w:t xml:space="preserve">(Transparency, Risk-sharing, Use and strengthening country systems, Strengthening capacities and Timely and predictable aid) by providing aid and managing resources more effectively and aligning these resources for results. </w:t>
      </w:r>
    </w:p>
    <w:p w14:paraId="6FE8B25F" w14:textId="3F807AD7" w:rsidR="002376CE" w:rsidRDefault="00F7586E" w:rsidP="00F7586E">
      <w:pPr>
        <w:pStyle w:val="Numberedpara"/>
      </w:pPr>
      <w:r w:rsidRPr="00F7586E">
        <w:rPr>
          <w:b/>
        </w:rPr>
        <w:t>The Government and development partners need to reach agreement on the design elements of</w:t>
      </w:r>
      <w:r w:rsidR="002376CE" w:rsidRPr="00F7586E">
        <w:rPr>
          <w:b/>
        </w:rPr>
        <w:t xml:space="preserve"> a budget support arrangement</w:t>
      </w:r>
      <w:r w:rsidR="00A22B3C" w:rsidRPr="00F7586E">
        <w:rPr>
          <w:b/>
        </w:rPr>
        <w:t>.</w:t>
      </w:r>
      <w:r w:rsidR="00A22B3C">
        <w:t xml:space="preserve">  I</w:t>
      </w:r>
      <w:r w:rsidR="001B3691">
        <w:t xml:space="preserve">ncluding the timeframe, the nature of support, program structures, conditions for support and </w:t>
      </w:r>
      <w:r w:rsidR="00A22B3C">
        <w:t xml:space="preserve">joint </w:t>
      </w:r>
      <w:r w:rsidR="001B3691">
        <w:t>monitoring arrangements</w:t>
      </w:r>
      <w:r w:rsidR="002376CE" w:rsidRPr="00FA3306">
        <w:t>.</w:t>
      </w:r>
      <w:r>
        <w:t xml:space="preserve"> </w:t>
      </w:r>
      <w:r w:rsidR="00A22B3C" w:rsidRPr="00E72F5D">
        <w:t>Once reach</w:t>
      </w:r>
      <w:r w:rsidR="00A22B3C">
        <w:t>ed, these agreements could</w:t>
      </w:r>
      <w:r w:rsidR="00A22B3C" w:rsidRPr="00E72F5D">
        <w:t xml:space="preserve"> form the basis of more formal financing instruments (grant agreements) made with individual development partners who wish to participate in the budget suppor</w:t>
      </w:r>
      <w:r w:rsidR="00A22B3C">
        <w:t xml:space="preserve">t arrangements for the PFMRII. </w:t>
      </w:r>
    </w:p>
    <w:p w14:paraId="3118E8C0" w14:textId="77777777" w:rsidR="00F7586E" w:rsidRDefault="00F95068" w:rsidP="00A22B3C">
      <w:pPr>
        <w:pStyle w:val="Numberedpara"/>
      </w:pPr>
      <w:r w:rsidRPr="00F95068">
        <w:rPr>
          <w:b/>
        </w:rPr>
        <w:t>Work needs to start now.</w:t>
      </w:r>
      <w:r>
        <w:t xml:space="preserve"> </w:t>
      </w:r>
      <w:r w:rsidR="002376CE">
        <w:t xml:space="preserve">If the Government and the development partners </w:t>
      </w:r>
      <w:r w:rsidR="00F7586E">
        <w:t>want to pursue</w:t>
      </w:r>
      <w:r w:rsidR="002376CE">
        <w:t xml:space="preserve"> a targeted sector or program budget </w:t>
      </w:r>
      <w:r w:rsidR="00A22B3C">
        <w:t>support framework following the broad outline</w:t>
      </w:r>
      <w:r w:rsidR="001B3691">
        <w:t xml:space="preserve"> at Attachment D, </w:t>
      </w:r>
      <w:r w:rsidR="00F7586E">
        <w:t>there is a lot of</w:t>
      </w:r>
      <w:r w:rsidR="002376CE">
        <w:t xml:space="preserve"> work to do. The preconditions for such an arrangement are not in place. </w:t>
      </w:r>
      <w:r w:rsidR="001B3691">
        <w:t xml:space="preserve">There needs to be a joint design process to determine each of the elements listed above. </w:t>
      </w:r>
    </w:p>
    <w:p w14:paraId="7BC577F0" w14:textId="743C0022" w:rsidR="00F95068" w:rsidRPr="00BE066C" w:rsidRDefault="001B3691" w:rsidP="00A22B3C">
      <w:pPr>
        <w:pStyle w:val="Numberedpara"/>
        <w:sectPr w:rsidR="00F95068" w:rsidRPr="00BE066C" w:rsidSect="00004C5E">
          <w:footerReference w:type="default" r:id="rId53"/>
          <w:pgSz w:w="11900" w:h="16840" w:code="9"/>
          <w:pgMar w:top="1440" w:right="1440" w:bottom="1440" w:left="1440" w:header="720" w:footer="958" w:gutter="0"/>
          <w:pgNumType w:start="1"/>
          <w:cols w:space="720"/>
          <w:docGrid w:linePitch="360"/>
          <w:printerSettings r:id="rId54"/>
        </w:sectPr>
      </w:pPr>
      <w:r>
        <w:t>As this plan demonstrates</w:t>
      </w:r>
      <w:r w:rsidR="00A22B3C">
        <w:t>,</w:t>
      </w:r>
      <w:r>
        <w:t xml:space="preserve"> the Government </w:t>
      </w:r>
      <w:r w:rsidR="00F7586E">
        <w:t xml:space="preserve">has thought about </w:t>
      </w:r>
      <w:r>
        <w:t>how this type of arrangement might work and considers a</w:t>
      </w:r>
      <w:r w:rsidR="002376CE">
        <w:t xml:space="preserve"> reasonable timeframe for achieving some credible preconditions and for establishing the necessary agreements would be the start </w:t>
      </w:r>
      <w:r w:rsidR="00A22B3C">
        <w:t xml:space="preserve">of the 2017 / 1396 fiscal </w:t>
      </w:r>
      <w:r w:rsidR="000F72D5">
        <w:t>year</w:t>
      </w:r>
    </w:p>
    <w:p w14:paraId="3B437880" w14:textId="3FEC1236" w:rsidR="000C5BF3" w:rsidRDefault="000C5BF3" w:rsidP="000F72D5">
      <w:pPr>
        <w:pStyle w:val="Numberedpara"/>
        <w:numPr>
          <w:ilvl w:val="0"/>
          <w:numId w:val="0"/>
        </w:numPr>
      </w:pPr>
    </w:p>
    <w:p w14:paraId="1EE4DF75" w14:textId="0D328587" w:rsidR="0035328F" w:rsidRDefault="0035328F" w:rsidP="00E67775">
      <w:pPr>
        <w:pStyle w:val="Numberedpara"/>
        <w:numPr>
          <w:ilvl w:val="0"/>
          <w:numId w:val="0"/>
        </w:numPr>
      </w:pPr>
    </w:p>
    <w:p w14:paraId="4D5D3DA2" w14:textId="77777777" w:rsidR="0035328F" w:rsidRDefault="0035328F" w:rsidP="002A7498">
      <w:pPr>
        <w:rPr>
          <w:lang w:val="en-GB"/>
        </w:rPr>
      </w:pPr>
    </w:p>
    <w:p w14:paraId="0D1242B0" w14:textId="77777777" w:rsidR="0035328F" w:rsidRDefault="0035328F" w:rsidP="002A7498">
      <w:pPr>
        <w:rPr>
          <w:lang w:val="en-GB"/>
        </w:rPr>
      </w:pPr>
    </w:p>
    <w:p w14:paraId="10951908" w14:textId="77777777" w:rsidR="0035328F" w:rsidRPr="00FE5C2E" w:rsidRDefault="0035328F" w:rsidP="002A7498">
      <w:pPr>
        <w:rPr>
          <w:lang w:val="en-GB"/>
        </w:rPr>
      </w:pPr>
    </w:p>
    <w:p w14:paraId="48E6B6C0" w14:textId="77777777" w:rsidR="002A7498" w:rsidRPr="00FE5C2E" w:rsidRDefault="002A7498" w:rsidP="002A7498">
      <w:pPr>
        <w:rPr>
          <w:lang w:val="en-GB"/>
        </w:rPr>
      </w:pPr>
    </w:p>
    <w:p w14:paraId="55FDD1BE" w14:textId="77777777" w:rsidR="002A7498" w:rsidRPr="00FE5C2E" w:rsidRDefault="002A7498" w:rsidP="002A7498">
      <w:pPr>
        <w:rPr>
          <w:lang w:val="en-GB"/>
        </w:rPr>
      </w:pPr>
    </w:p>
    <w:p w14:paraId="056458BE" w14:textId="77777777" w:rsidR="002A7498" w:rsidRPr="00FE5C2E" w:rsidRDefault="002A7498" w:rsidP="002A7498">
      <w:pPr>
        <w:pStyle w:val="Heading1"/>
      </w:pPr>
      <w:bookmarkStart w:id="73" w:name="_Toc457162627"/>
      <w:r w:rsidRPr="00FE5C2E">
        <w:t>Attachments</w:t>
      </w:r>
      <w:bookmarkEnd w:id="73"/>
    </w:p>
    <w:p w14:paraId="75AD2805" w14:textId="77777777" w:rsidR="002A7498" w:rsidRPr="00FE5C2E" w:rsidRDefault="002A7498" w:rsidP="002A7498">
      <w:pPr>
        <w:rPr>
          <w:lang w:val="en-GB"/>
        </w:rPr>
      </w:pPr>
    </w:p>
    <w:p w14:paraId="0EE52E19" w14:textId="77777777" w:rsidR="00647052" w:rsidRDefault="00647052">
      <w:pPr>
        <w:rPr>
          <w:lang w:val="en-GB"/>
        </w:rPr>
        <w:sectPr w:rsidR="00647052" w:rsidSect="00004C5E">
          <w:pgSz w:w="11900" w:h="16840" w:code="9"/>
          <w:pgMar w:top="1440" w:right="1800" w:bottom="1440" w:left="1800" w:header="720" w:footer="720" w:gutter="0"/>
          <w:cols w:space="720"/>
          <w:titlePg/>
          <w:docGrid w:linePitch="360"/>
          <w:printerSettings r:id="rId55"/>
        </w:sectPr>
      </w:pPr>
    </w:p>
    <w:p w14:paraId="09262650" w14:textId="5759253F" w:rsidR="002A7498" w:rsidRDefault="002A7498" w:rsidP="00060715">
      <w:pPr>
        <w:pStyle w:val="Heading2"/>
      </w:pPr>
      <w:bookmarkStart w:id="74" w:name="_Ref428656760"/>
      <w:bookmarkStart w:id="75" w:name="_Toc457162628"/>
      <w:r w:rsidRPr="00FE5C2E">
        <w:rPr>
          <w:rStyle w:val="Emphasis"/>
        </w:rPr>
        <w:lastRenderedPageBreak/>
        <w:t xml:space="preserve">Attachment A: </w:t>
      </w:r>
      <w:bookmarkEnd w:id="74"/>
      <w:r w:rsidR="009776B9">
        <w:rPr>
          <w:rStyle w:val="Emphasis"/>
        </w:rPr>
        <w:t>5 Year Plans</w:t>
      </w:r>
      <w:bookmarkEnd w:id="75"/>
    </w:p>
    <w:p w14:paraId="7B69999D" w14:textId="072B2D5A" w:rsidR="009D0300" w:rsidRPr="00FE5C2E" w:rsidRDefault="009D0300" w:rsidP="002A7498">
      <w:pPr>
        <w:rPr>
          <w:lang w:val="en-GB"/>
        </w:rPr>
      </w:pPr>
    </w:p>
    <w:p w14:paraId="1D3727DB" w14:textId="77777777" w:rsidR="00887CA6" w:rsidRDefault="00887CA6">
      <w:pPr>
        <w:rPr>
          <w:rStyle w:val="Emphasis"/>
          <w:rFonts w:asciiTheme="majorHAnsi" w:eastAsiaTheme="majorEastAsia" w:hAnsiTheme="majorHAnsi" w:cstheme="majorBidi"/>
          <w:b/>
          <w:caps/>
          <w:sz w:val="36"/>
          <w:szCs w:val="32"/>
          <w:lang w:val="en-GB"/>
        </w:rPr>
        <w:sectPr w:rsidR="00887CA6" w:rsidSect="00004C5E">
          <w:pgSz w:w="11900" w:h="16840" w:orient="landscape" w:code="9"/>
          <w:pgMar w:top="1800" w:right="1440" w:bottom="1800" w:left="1440" w:header="720" w:footer="720" w:gutter="0"/>
          <w:cols w:space="720"/>
          <w:titlePg/>
          <w:docGrid w:linePitch="360"/>
          <w:printerSettings r:id="rId56"/>
        </w:sectPr>
      </w:pPr>
    </w:p>
    <w:p w14:paraId="6800ADEF" w14:textId="35A59762" w:rsidR="0095262B" w:rsidRPr="00FE5C2E" w:rsidRDefault="00CA701A" w:rsidP="00060715">
      <w:pPr>
        <w:pStyle w:val="Heading2"/>
      </w:pPr>
      <w:bookmarkStart w:id="76" w:name="_Ref428550122"/>
      <w:bookmarkStart w:id="77" w:name="_Ref428550124"/>
      <w:bookmarkStart w:id="78" w:name="_Ref428550125"/>
      <w:bookmarkStart w:id="79" w:name="_Toc457162629"/>
      <w:r>
        <w:rPr>
          <w:rStyle w:val="Emphasis"/>
        </w:rPr>
        <w:lastRenderedPageBreak/>
        <w:t>Attachment B</w:t>
      </w:r>
      <w:r w:rsidR="0095262B" w:rsidRPr="00FE5C2E">
        <w:rPr>
          <w:rStyle w:val="Emphasis"/>
        </w:rPr>
        <w:t xml:space="preserve">: Aspirational and Guiding Targets </w:t>
      </w:r>
      <w:r w:rsidR="00522B49">
        <w:t>to support Implemen</w:t>
      </w:r>
      <w:r w:rsidR="0095262B" w:rsidRPr="00FE5C2E">
        <w:t>t</w:t>
      </w:r>
      <w:r w:rsidR="00522B49">
        <w:t>at</w:t>
      </w:r>
      <w:r w:rsidR="0095262B" w:rsidRPr="00FE5C2E">
        <w:t>ion of the PFMR</w:t>
      </w:r>
      <w:r w:rsidR="00452E08" w:rsidRPr="00FE5C2E">
        <w:t>-II</w:t>
      </w:r>
      <w:bookmarkEnd w:id="76"/>
      <w:bookmarkEnd w:id="77"/>
      <w:bookmarkEnd w:id="78"/>
      <w:bookmarkEnd w:id="79"/>
    </w:p>
    <w:p w14:paraId="7D1D9E8F" w14:textId="5BB7F9A9" w:rsidR="00887CA6" w:rsidRDefault="00887CA6" w:rsidP="00DE147D">
      <w:pPr>
        <w:pStyle w:val="TableHeader1"/>
      </w:pPr>
      <w:bookmarkStart w:id="80" w:name="_Toc457162641"/>
      <w:r>
        <w:t>Aspirational PEFA Targets</w:t>
      </w:r>
      <w:bookmarkEnd w:id="80"/>
    </w:p>
    <w:tbl>
      <w:tblPr>
        <w:tblW w:w="5000" w:type="pct"/>
        <w:tblLayout w:type="fixed"/>
        <w:tblLook w:val="04A0" w:firstRow="1" w:lastRow="0" w:firstColumn="1" w:lastColumn="0" w:noHBand="0" w:noVBand="1"/>
      </w:tblPr>
      <w:tblGrid>
        <w:gridCol w:w="493"/>
        <w:gridCol w:w="5623"/>
        <w:gridCol w:w="623"/>
        <w:gridCol w:w="623"/>
        <w:gridCol w:w="623"/>
        <w:gridCol w:w="991"/>
        <w:gridCol w:w="34"/>
      </w:tblGrid>
      <w:tr w:rsidR="00887CA6" w:rsidRPr="00887CA6" w14:paraId="5A000A2B" w14:textId="77777777" w:rsidTr="00577BED">
        <w:trPr>
          <w:gridAfter w:val="1"/>
          <w:wAfter w:w="19" w:type="pct"/>
          <w:trHeight w:val="20"/>
          <w:tblHeader/>
        </w:trPr>
        <w:tc>
          <w:tcPr>
            <w:tcW w:w="273" w:type="pct"/>
            <w:tcBorders>
              <w:top w:val="single" w:sz="4" w:space="0" w:color="auto"/>
              <w:left w:val="single" w:sz="4" w:space="0" w:color="auto"/>
              <w:bottom w:val="single" w:sz="4" w:space="0" w:color="auto"/>
              <w:right w:val="single" w:sz="4" w:space="0" w:color="auto"/>
            </w:tcBorders>
            <w:shd w:val="clear" w:color="auto" w:fill="4E9747" w:themeFill="accent4" w:themeFillShade="BF"/>
            <w:vAlign w:val="center"/>
            <w:hideMark/>
          </w:tcPr>
          <w:p w14:paraId="7458D400" w14:textId="77777777" w:rsidR="00887CA6" w:rsidRPr="004961D6" w:rsidRDefault="00887CA6" w:rsidP="00887CA6">
            <w:pPr>
              <w:jc w:val="center"/>
              <w:rPr>
                <w:rFonts w:ascii="Calibri" w:eastAsia="Times New Roman" w:hAnsi="Calibri"/>
                <w:b/>
                <w:bCs/>
                <w:sz w:val="18"/>
                <w:szCs w:val="18"/>
              </w:rPr>
            </w:pPr>
          </w:p>
        </w:tc>
        <w:tc>
          <w:tcPr>
            <w:tcW w:w="3119" w:type="pct"/>
            <w:tcBorders>
              <w:top w:val="single" w:sz="4" w:space="0" w:color="auto"/>
              <w:left w:val="nil"/>
              <w:bottom w:val="single" w:sz="4" w:space="0" w:color="auto"/>
              <w:right w:val="single" w:sz="4" w:space="0" w:color="auto"/>
            </w:tcBorders>
            <w:shd w:val="clear" w:color="auto" w:fill="4E9747" w:themeFill="accent4" w:themeFillShade="BF"/>
            <w:vAlign w:val="center"/>
            <w:hideMark/>
          </w:tcPr>
          <w:p w14:paraId="0EC9EE2D"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Indicator</w:t>
            </w:r>
          </w:p>
        </w:tc>
        <w:tc>
          <w:tcPr>
            <w:tcW w:w="346" w:type="pct"/>
            <w:tcBorders>
              <w:top w:val="single" w:sz="4" w:space="0" w:color="auto"/>
              <w:left w:val="nil"/>
              <w:bottom w:val="single" w:sz="4" w:space="0" w:color="auto"/>
              <w:right w:val="single" w:sz="4" w:space="0" w:color="auto"/>
            </w:tcBorders>
            <w:shd w:val="clear" w:color="auto" w:fill="4E9747" w:themeFill="accent4" w:themeFillShade="BF"/>
            <w:vAlign w:val="center"/>
            <w:hideMark/>
          </w:tcPr>
          <w:p w14:paraId="73C2F6A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2005R</w:t>
            </w:r>
          </w:p>
        </w:tc>
        <w:tc>
          <w:tcPr>
            <w:tcW w:w="346" w:type="pct"/>
            <w:tcBorders>
              <w:top w:val="single" w:sz="4" w:space="0" w:color="auto"/>
              <w:left w:val="nil"/>
              <w:bottom w:val="single" w:sz="4" w:space="0" w:color="auto"/>
              <w:right w:val="single" w:sz="4" w:space="0" w:color="auto"/>
            </w:tcBorders>
            <w:shd w:val="clear" w:color="auto" w:fill="4E9747" w:themeFill="accent4" w:themeFillShade="BF"/>
            <w:vAlign w:val="center"/>
            <w:hideMark/>
          </w:tcPr>
          <w:p w14:paraId="197D81B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2008R</w:t>
            </w:r>
          </w:p>
        </w:tc>
        <w:tc>
          <w:tcPr>
            <w:tcW w:w="346" w:type="pct"/>
            <w:tcBorders>
              <w:top w:val="single" w:sz="4" w:space="0" w:color="auto"/>
              <w:left w:val="nil"/>
              <w:bottom w:val="single" w:sz="4" w:space="0" w:color="auto"/>
              <w:right w:val="single" w:sz="4" w:space="0" w:color="auto"/>
            </w:tcBorders>
            <w:shd w:val="clear" w:color="auto" w:fill="4E9747" w:themeFill="accent4" w:themeFillShade="BF"/>
            <w:vAlign w:val="center"/>
            <w:hideMark/>
          </w:tcPr>
          <w:p w14:paraId="7EE63EE4"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2013</w:t>
            </w:r>
          </w:p>
        </w:tc>
        <w:tc>
          <w:tcPr>
            <w:tcW w:w="550" w:type="pct"/>
            <w:tcBorders>
              <w:top w:val="single" w:sz="4" w:space="0" w:color="auto"/>
              <w:left w:val="nil"/>
              <w:bottom w:val="single" w:sz="4" w:space="0" w:color="auto"/>
              <w:right w:val="single" w:sz="4" w:space="0" w:color="auto"/>
            </w:tcBorders>
            <w:shd w:val="clear" w:color="auto" w:fill="4E9747" w:themeFill="accent4" w:themeFillShade="BF"/>
            <w:vAlign w:val="center"/>
            <w:hideMark/>
          </w:tcPr>
          <w:p w14:paraId="6207A2D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Aspirational Target</w:t>
            </w:r>
          </w:p>
        </w:tc>
      </w:tr>
      <w:tr w:rsidR="00887CA6" w:rsidRPr="00887CA6" w14:paraId="2F918C83" w14:textId="77777777" w:rsidTr="00887CA6">
        <w:trPr>
          <w:trHeight w:val="20"/>
        </w:trPr>
        <w:tc>
          <w:tcPr>
            <w:tcW w:w="273" w:type="pct"/>
            <w:tcBorders>
              <w:top w:val="nil"/>
              <w:left w:val="single" w:sz="4" w:space="0" w:color="auto"/>
              <w:bottom w:val="single" w:sz="4" w:space="0" w:color="auto"/>
              <w:right w:val="single" w:sz="4" w:space="0" w:color="auto"/>
            </w:tcBorders>
            <w:shd w:val="clear" w:color="000000" w:fill="ACD6A7" w:themeFill="accent4" w:themeFillTint="99"/>
            <w:hideMark/>
          </w:tcPr>
          <w:p w14:paraId="4E93068F" w14:textId="77777777" w:rsidR="00887CA6" w:rsidRPr="004961D6" w:rsidRDefault="00887CA6" w:rsidP="00887CA6">
            <w:pPr>
              <w:rPr>
                <w:rFonts w:ascii="Calibri" w:eastAsia="Times New Roman" w:hAnsi="Calibri"/>
                <w:b/>
                <w:bCs/>
                <w:i/>
                <w:iCs/>
                <w:sz w:val="18"/>
                <w:szCs w:val="18"/>
              </w:rPr>
            </w:pPr>
            <w:r w:rsidRPr="004961D6">
              <w:rPr>
                <w:rFonts w:ascii="Calibri" w:eastAsia="Times New Roman" w:hAnsi="Calibri"/>
                <w:b/>
                <w:bCs/>
                <w:i/>
                <w:iCs/>
                <w:sz w:val="18"/>
                <w:szCs w:val="18"/>
              </w:rPr>
              <w:t> </w:t>
            </w:r>
          </w:p>
        </w:tc>
        <w:tc>
          <w:tcPr>
            <w:tcW w:w="3119" w:type="pct"/>
            <w:tcBorders>
              <w:top w:val="nil"/>
              <w:left w:val="nil"/>
              <w:bottom w:val="single" w:sz="4" w:space="0" w:color="auto"/>
              <w:right w:val="single" w:sz="4" w:space="0" w:color="auto"/>
            </w:tcBorders>
            <w:shd w:val="clear" w:color="000000" w:fill="ACD6A7" w:themeFill="accent4" w:themeFillTint="99"/>
            <w:hideMark/>
          </w:tcPr>
          <w:p w14:paraId="796F8E36"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A. PFM-OUT-TURNS:  Credibility of the budget</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47AFADE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39AF02D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0A0C7AA7"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569" w:type="pct"/>
            <w:gridSpan w:val="2"/>
            <w:tcBorders>
              <w:top w:val="nil"/>
              <w:left w:val="nil"/>
              <w:bottom w:val="single" w:sz="4" w:space="0" w:color="auto"/>
              <w:right w:val="single" w:sz="4" w:space="0" w:color="auto"/>
            </w:tcBorders>
            <w:shd w:val="clear" w:color="000000" w:fill="ACD6A7" w:themeFill="accent4" w:themeFillTint="99"/>
            <w:hideMark/>
          </w:tcPr>
          <w:p w14:paraId="1BCA00E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r>
      <w:tr w:rsidR="00887CA6" w:rsidRPr="00887CA6" w14:paraId="5D0BA8C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DC85B52"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w:t>
            </w:r>
          </w:p>
        </w:tc>
        <w:tc>
          <w:tcPr>
            <w:tcW w:w="3119" w:type="pct"/>
            <w:tcBorders>
              <w:top w:val="nil"/>
              <w:left w:val="nil"/>
              <w:bottom w:val="single" w:sz="4" w:space="0" w:color="auto"/>
              <w:right w:val="single" w:sz="4" w:space="0" w:color="auto"/>
            </w:tcBorders>
            <w:shd w:val="clear" w:color="auto" w:fill="auto"/>
            <w:hideMark/>
          </w:tcPr>
          <w:p w14:paraId="0A6461E9"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Aggregate expenditure out-turn compared to original approved budget</w:t>
            </w:r>
          </w:p>
        </w:tc>
        <w:tc>
          <w:tcPr>
            <w:tcW w:w="346" w:type="pct"/>
            <w:tcBorders>
              <w:top w:val="nil"/>
              <w:left w:val="nil"/>
              <w:bottom w:val="single" w:sz="4" w:space="0" w:color="auto"/>
              <w:right w:val="single" w:sz="4" w:space="0" w:color="auto"/>
            </w:tcBorders>
            <w:shd w:val="clear" w:color="auto" w:fill="auto"/>
            <w:hideMark/>
          </w:tcPr>
          <w:p w14:paraId="480CEAB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3294EB0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1609847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062BE563"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r>
      <w:tr w:rsidR="00887CA6" w:rsidRPr="00887CA6" w14:paraId="397BEDD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355F13F"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314BE67"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The difference between actual primary [sector] expenditure and the originally budgeted primary expenditure (i.e. excluding debt service charges, but also excluding externally financed project expenditure).</w:t>
            </w:r>
          </w:p>
        </w:tc>
        <w:tc>
          <w:tcPr>
            <w:tcW w:w="346" w:type="pct"/>
            <w:tcBorders>
              <w:top w:val="nil"/>
              <w:left w:val="nil"/>
              <w:bottom w:val="single" w:sz="4" w:space="0" w:color="auto"/>
              <w:right w:val="single" w:sz="4" w:space="0" w:color="auto"/>
            </w:tcBorders>
            <w:shd w:val="clear" w:color="auto" w:fill="auto"/>
            <w:hideMark/>
          </w:tcPr>
          <w:p w14:paraId="3DD937F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514470D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49AADDB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3B07E8D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12898439"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25F8534"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w:t>
            </w:r>
          </w:p>
        </w:tc>
        <w:tc>
          <w:tcPr>
            <w:tcW w:w="3119" w:type="pct"/>
            <w:tcBorders>
              <w:top w:val="nil"/>
              <w:left w:val="nil"/>
              <w:bottom w:val="single" w:sz="4" w:space="0" w:color="auto"/>
              <w:right w:val="single" w:sz="4" w:space="0" w:color="auto"/>
            </w:tcBorders>
            <w:shd w:val="clear" w:color="auto" w:fill="auto"/>
            <w:hideMark/>
          </w:tcPr>
          <w:p w14:paraId="0585F5A9"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Composition of expenditure out-turn compared to original approved budget</w:t>
            </w:r>
          </w:p>
        </w:tc>
        <w:tc>
          <w:tcPr>
            <w:tcW w:w="346" w:type="pct"/>
            <w:tcBorders>
              <w:top w:val="nil"/>
              <w:left w:val="nil"/>
              <w:bottom w:val="single" w:sz="4" w:space="0" w:color="auto"/>
              <w:right w:val="single" w:sz="4" w:space="0" w:color="auto"/>
            </w:tcBorders>
            <w:shd w:val="clear" w:color="auto" w:fill="auto"/>
            <w:hideMark/>
          </w:tcPr>
          <w:p w14:paraId="7F2DF8BB" w14:textId="77777777" w:rsidR="00887CA6" w:rsidRPr="004961D6" w:rsidRDefault="00887CA6" w:rsidP="00887CA6">
            <w:pPr>
              <w:jc w:val="center"/>
              <w:rPr>
                <w:rFonts w:ascii="Calibri" w:eastAsia="Times New Roman" w:hAnsi="Calibri"/>
                <w:b/>
                <w:bCs/>
                <w:i/>
                <w:iCs/>
                <w:sz w:val="18"/>
                <w:szCs w:val="18"/>
              </w:rPr>
            </w:pPr>
            <w:r w:rsidRPr="004961D6">
              <w:rPr>
                <w:rFonts w:ascii="Calibri" w:eastAsia="Times New Roman" w:hAnsi="Calibri"/>
                <w:b/>
                <w:bCs/>
                <w:i/>
                <w:iCs/>
                <w:sz w:val="18"/>
                <w:szCs w:val="18"/>
              </w:rPr>
              <w:t>D</w:t>
            </w:r>
          </w:p>
        </w:tc>
        <w:tc>
          <w:tcPr>
            <w:tcW w:w="346" w:type="pct"/>
            <w:tcBorders>
              <w:top w:val="nil"/>
              <w:left w:val="nil"/>
              <w:bottom w:val="single" w:sz="4" w:space="0" w:color="auto"/>
              <w:right w:val="single" w:sz="4" w:space="0" w:color="auto"/>
            </w:tcBorders>
            <w:shd w:val="clear" w:color="auto" w:fill="auto"/>
            <w:hideMark/>
          </w:tcPr>
          <w:p w14:paraId="21AC21CF"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6399D00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1ECF520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r>
      <w:tr w:rsidR="00887CA6" w:rsidRPr="00887CA6" w14:paraId="7772E97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0A2375A"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A325DD3"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Extent of the variance in expenditure composition during the last three years, excluding contingency items</w:t>
            </w:r>
          </w:p>
        </w:tc>
        <w:tc>
          <w:tcPr>
            <w:tcW w:w="346" w:type="pct"/>
            <w:tcBorders>
              <w:top w:val="nil"/>
              <w:left w:val="nil"/>
              <w:bottom w:val="single" w:sz="4" w:space="0" w:color="auto"/>
              <w:right w:val="single" w:sz="4" w:space="0" w:color="auto"/>
            </w:tcBorders>
            <w:shd w:val="clear" w:color="auto" w:fill="auto"/>
            <w:hideMark/>
          </w:tcPr>
          <w:p w14:paraId="6946313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44DB8C8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35AA3C8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5EE0F70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45DF438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E7467F5"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2C4EC1C"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The average amount of expenditure actually charged to the contingency vote over the last three years.</w:t>
            </w:r>
          </w:p>
        </w:tc>
        <w:tc>
          <w:tcPr>
            <w:tcW w:w="346" w:type="pct"/>
            <w:tcBorders>
              <w:top w:val="nil"/>
              <w:left w:val="nil"/>
              <w:bottom w:val="single" w:sz="4" w:space="0" w:color="auto"/>
              <w:right w:val="single" w:sz="4" w:space="0" w:color="auto"/>
            </w:tcBorders>
            <w:shd w:val="clear" w:color="auto" w:fill="auto"/>
            <w:hideMark/>
          </w:tcPr>
          <w:p w14:paraId="77A2BA4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38D1E46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67351C5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7B8C066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4930A52" w14:textId="77777777" w:rsidTr="00887CA6">
        <w:trPr>
          <w:trHeight w:val="216"/>
        </w:trPr>
        <w:tc>
          <w:tcPr>
            <w:tcW w:w="273" w:type="pct"/>
            <w:tcBorders>
              <w:top w:val="nil"/>
              <w:left w:val="single" w:sz="4" w:space="0" w:color="auto"/>
              <w:bottom w:val="single" w:sz="4" w:space="0" w:color="auto"/>
              <w:right w:val="single" w:sz="4" w:space="0" w:color="auto"/>
            </w:tcBorders>
            <w:shd w:val="clear" w:color="auto" w:fill="auto"/>
            <w:hideMark/>
          </w:tcPr>
          <w:p w14:paraId="212DD02F"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PI-3</w:t>
            </w:r>
          </w:p>
        </w:tc>
        <w:tc>
          <w:tcPr>
            <w:tcW w:w="3119" w:type="pct"/>
            <w:tcBorders>
              <w:top w:val="nil"/>
              <w:left w:val="nil"/>
              <w:bottom w:val="single" w:sz="4" w:space="0" w:color="auto"/>
              <w:right w:val="single" w:sz="4" w:space="0" w:color="auto"/>
            </w:tcBorders>
            <w:shd w:val="clear" w:color="auto" w:fill="auto"/>
            <w:hideMark/>
          </w:tcPr>
          <w:p w14:paraId="75985B82"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Aggregate revenue out-turn compared to original approved budget</w:t>
            </w:r>
          </w:p>
        </w:tc>
        <w:tc>
          <w:tcPr>
            <w:tcW w:w="346" w:type="pct"/>
            <w:tcBorders>
              <w:top w:val="nil"/>
              <w:left w:val="nil"/>
              <w:bottom w:val="single" w:sz="4" w:space="0" w:color="auto"/>
              <w:right w:val="single" w:sz="4" w:space="0" w:color="auto"/>
            </w:tcBorders>
            <w:shd w:val="clear" w:color="auto" w:fill="auto"/>
            <w:hideMark/>
          </w:tcPr>
          <w:p w14:paraId="70FB928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7E30E1BD"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3450FF6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2261FF7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6BD6845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7FFB033"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noWrap/>
            <w:hideMark/>
          </w:tcPr>
          <w:p w14:paraId="67176825" w14:textId="77777777" w:rsidR="00887CA6" w:rsidRPr="004961D6" w:rsidRDefault="00887CA6" w:rsidP="00887CA6">
            <w:pPr>
              <w:jc w:val="both"/>
              <w:outlineLvl w:val="0"/>
              <w:rPr>
                <w:rFonts w:ascii="Calibri" w:eastAsia="Times New Roman" w:hAnsi="Calibri"/>
                <w:sz w:val="18"/>
                <w:szCs w:val="18"/>
              </w:rPr>
            </w:pPr>
            <w:r w:rsidRPr="004961D6">
              <w:rPr>
                <w:rFonts w:ascii="Calibri" w:eastAsia="Times New Roman" w:hAnsi="Calibri"/>
                <w:sz w:val="18"/>
                <w:szCs w:val="18"/>
              </w:rPr>
              <w:t>(i) Actual domestic [sector specific non-tax] revenue collection compared to domestic revenue estimates in the original, approved budget.</w:t>
            </w:r>
          </w:p>
        </w:tc>
        <w:tc>
          <w:tcPr>
            <w:tcW w:w="346" w:type="pct"/>
            <w:tcBorders>
              <w:top w:val="nil"/>
              <w:left w:val="nil"/>
              <w:bottom w:val="single" w:sz="4" w:space="0" w:color="auto"/>
              <w:right w:val="single" w:sz="4" w:space="0" w:color="auto"/>
            </w:tcBorders>
            <w:shd w:val="clear" w:color="auto" w:fill="auto"/>
            <w:hideMark/>
          </w:tcPr>
          <w:p w14:paraId="0803488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010345C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597D29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5C7767D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1000DC7B"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F9F8EB1"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PI-4</w:t>
            </w:r>
          </w:p>
        </w:tc>
        <w:tc>
          <w:tcPr>
            <w:tcW w:w="3119" w:type="pct"/>
            <w:tcBorders>
              <w:top w:val="nil"/>
              <w:left w:val="nil"/>
              <w:bottom w:val="single" w:sz="4" w:space="0" w:color="auto"/>
              <w:right w:val="single" w:sz="4" w:space="0" w:color="auto"/>
            </w:tcBorders>
            <w:shd w:val="clear" w:color="auto" w:fill="auto"/>
            <w:hideMark/>
          </w:tcPr>
          <w:p w14:paraId="4731DFA9"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Stock and monitoring of expenditure payment arrears</w:t>
            </w:r>
          </w:p>
        </w:tc>
        <w:tc>
          <w:tcPr>
            <w:tcW w:w="346" w:type="pct"/>
            <w:tcBorders>
              <w:top w:val="nil"/>
              <w:left w:val="nil"/>
              <w:bottom w:val="single" w:sz="4" w:space="0" w:color="auto"/>
              <w:right w:val="single" w:sz="4" w:space="0" w:color="auto"/>
            </w:tcBorders>
            <w:shd w:val="clear" w:color="auto" w:fill="auto"/>
            <w:hideMark/>
          </w:tcPr>
          <w:p w14:paraId="5F5E3B8C" w14:textId="77777777" w:rsidR="00887CA6" w:rsidRPr="004961D6" w:rsidRDefault="00887CA6" w:rsidP="00887CA6">
            <w:pPr>
              <w:jc w:val="center"/>
              <w:rPr>
                <w:rFonts w:ascii="Calibri" w:eastAsia="Times New Roman" w:hAnsi="Calibri"/>
                <w:b/>
                <w:bCs/>
                <w:i/>
                <w:iCs/>
                <w:sz w:val="18"/>
                <w:szCs w:val="18"/>
              </w:rPr>
            </w:pPr>
            <w:r w:rsidRPr="004961D6">
              <w:rPr>
                <w:rFonts w:ascii="Calibri" w:eastAsia="Times New Roman" w:hAnsi="Calibri"/>
                <w:b/>
                <w:bCs/>
                <w:i/>
                <w:iCs/>
                <w:sz w:val="18"/>
                <w:szCs w:val="18"/>
              </w:rPr>
              <w:t>D+</w:t>
            </w:r>
          </w:p>
        </w:tc>
        <w:tc>
          <w:tcPr>
            <w:tcW w:w="346" w:type="pct"/>
            <w:tcBorders>
              <w:top w:val="nil"/>
              <w:left w:val="nil"/>
              <w:bottom w:val="single" w:sz="4" w:space="0" w:color="auto"/>
              <w:right w:val="single" w:sz="4" w:space="0" w:color="auto"/>
            </w:tcBorders>
            <w:shd w:val="clear" w:color="auto" w:fill="auto"/>
            <w:hideMark/>
          </w:tcPr>
          <w:p w14:paraId="3D1F4BF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74B12D7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4C2A5B64"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6620E3DA"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C17034C"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9E63F51"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Stock of expenditure payment arrears (as a % of actual total expenditure for the corresponding fiscal year) &amp; any recent change in the stock.</w:t>
            </w:r>
          </w:p>
        </w:tc>
        <w:tc>
          <w:tcPr>
            <w:tcW w:w="346" w:type="pct"/>
            <w:tcBorders>
              <w:top w:val="nil"/>
              <w:left w:val="nil"/>
              <w:bottom w:val="single" w:sz="4" w:space="0" w:color="auto"/>
              <w:right w:val="single" w:sz="4" w:space="0" w:color="auto"/>
            </w:tcBorders>
            <w:shd w:val="clear" w:color="auto" w:fill="auto"/>
            <w:hideMark/>
          </w:tcPr>
          <w:p w14:paraId="4117F5EB" w14:textId="77777777" w:rsidR="00887CA6" w:rsidRPr="004961D6" w:rsidRDefault="00887CA6" w:rsidP="00887CA6">
            <w:pPr>
              <w:jc w:val="center"/>
              <w:outlineLvl w:val="0"/>
              <w:rPr>
                <w:rFonts w:ascii="Calibri" w:eastAsia="Times New Roman" w:hAnsi="Calibri"/>
                <w:b/>
                <w:bCs/>
                <w:i/>
                <w:iCs/>
                <w:sz w:val="18"/>
                <w:szCs w:val="18"/>
              </w:rPr>
            </w:pPr>
            <w:r w:rsidRPr="004961D6">
              <w:rPr>
                <w:rFonts w:ascii="Calibri" w:eastAsia="Times New Roman" w:hAnsi="Calibri"/>
                <w:b/>
                <w:bCs/>
                <w:i/>
                <w:iCs/>
                <w:sz w:val="18"/>
                <w:szCs w:val="18"/>
              </w:rPr>
              <w:t>C</w:t>
            </w:r>
          </w:p>
        </w:tc>
        <w:tc>
          <w:tcPr>
            <w:tcW w:w="346" w:type="pct"/>
            <w:tcBorders>
              <w:top w:val="nil"/>
              <w:left w:val="nil"/>
              <w:bottom w:val="single" w:sz="4" w:space="0" w:color="auto"/>
              <w:right w:val="single" w:sz="4" w:space="0" w:color="auto"/>
            </w:tcBorders>
            <w:shd w:val="clear" w:color="auto" w:fill="auto"/>
            <w:hideMark/>
          </w:tcPr>
          <w:p w14:paraId="4F421D0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65F60A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040C478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0CF815DF"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6D20BEC"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13201B87"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Availability of data for monitoring the stock of expenditure payment arrears</w:t>
            </w:r>
          </w:p>
        </w:tc>
        <w:tc>
          <w:tcPr>
            <w:tcW w:w="346" w:type="pct"/>
            <w:tcBorders>
              <w:top w:val="nil"/>
              <w:left w:val="nil"/>
              <w:bottom w:val="single" w:sz="4" w:space="0" w:color="auto"/>
              <w:right w:val="single" w:sz="4" w:space="0" w:color="auto"/>
            </w:tcBorders>
            <w:shd w:val="clear" w:color="auto" w:fill="auto"/>
            <w:hideMark/>
          </w:tcPr>
          <w:p w14:paraId="51CCC5C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37CB9AC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18FD0B4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3EA64D8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3F9378C" w14:textId="77777777" w:rsidTr="00887CA6">
        <w:trPr>
          <w:trHeight w:val="20"/>
        </w:trPr>
        <w:tc>
          <w:tcPr>
            <w:tcW w:w="273" w:type="pct"/>
            <w:tcBorders>
              <w:top w:val="nil"/>
              <w:left w:val="single" w:sz="4" w:space="0" w:color="auto"/>
              <w:bottom w:val="single" w:sz="4" w:space="0" w:color="auto"/>
              <w:right w:val="single" w:sz="4" w:space="0" w:color="auto"/>
            </w:tcBorders>
            <w:shd w:val="clear" w:color="000000" w:fill="ACD6A7" w:themeFill="accent4" w:themeFillTint="99"/>
            <w:hideMark/>
          </w:tcPr>
          <w:p w14:paraId="246BD4D8"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000000" w:fill="ACD6A7" w:themeFill="accent4" w:themeFillTint="99"/>
            <w:hideMark/>
          </w:tcPr>
          <w:p w14:paraId="57D12B39"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B. KEY CROSS-CUTTING ISSUES: Comprehensiveness and Transparency</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0E7411D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15DDEAD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7D86B2E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569" w:type="pct"/>
            <w:gridSpan w:val="2"/>
            <w:tcBorders>
              <w:top w:val="nil"/>
              <w:left w:val="nil"/>
              <w:bottom w:val="single" w:sz="4" w:space="0" w:color="auto"/>
              <w:right w:val="single" w:sz="4" w:space="0" w:color="auto"/>
            </w:tcBorders>
            <w:shd w:val="clear" w:color="000000" w:fill="ACD6A7" w:themeFill="accent4" w:themeFillTint="99"/>
            <w:hideMark/>
          </w:tcPr>
          <w:p w14:paraId="338A841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r>
      <w:tr w:rsidR="00887CA6" w:rsidRPr="00887CA6" w14:paraId="7D4905B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AD4D89D"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PI-5</w:t>
            </w:r>
          </w:p>
        </w:tc>
        <w:tc>
          <w:tcPr>
            <w:tcW w:w="3119" w:type="pct"/>
            <w:tcBorders>
              <w:top w:val="nil"/>
              <w:left w:val="nil"/>
              <w:bottom w:val="single" w:sz="4" w:space="0" w:color="auto"/>
              <w:right w:val="single" w:sz="4" w:space="0" w:color="auto"/>
            </w:tcBorders>
            <w:shd w:val="clear" w:color="auto" w:fill="auto"/>
            <w:hideMark/>
          </w:tcPr>
          <w:p w14:paraId="0286E850"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Classification of the budget</w:t>
            </w:r>
          </w:p>
        </w:tc>
        <w:tc>
          <w:tcPr>
            <w:tcW w:w="346" w:type="pct"/>
            <w:tcBorders>
              <w:top w:val="nil"/>
              <w:left w:val="nil"/>
              <w:bottom w:val="single" w:sz="4" w:space="0" w:color="auto"/>
              <w:right w:val="single" w:sz="4" w:space="0" w:color="auto"/>
            </w:tcBorders>
            <w:shd w:val="clear" w:color="auto" w:fill="auto"/>
            <w:hideMark/>
          </w:tcPr>
          <w:p w14:paraId="0C8B007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4B9E4A1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128D82A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59D93813"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2577D9A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56D555B"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noWrap/>
            <w:hideMark/>
          </w:tcPr>
          <w:p w14:paraId="7E708B73" w14:textId="77777777" w:rsidR="00887CA6" w:rsidRPr="004961D6" w:rsidRDefault="00887CA6" w:rsidP="00887CA6">
            <w:pPr>
              <w:jc w:val="both"/>
              <w:outlineLvl w:val="0"/>
              <w:rPr>
                <w:rFonts w:ascii="Calibri" w:eastAsia="Times New Roman" w:hAnsi="Calibri"/>
                <w:sz w:val="18"/>
                <w:szCs w:val="18"/>
              </w:rPr>
            </w:pPr>
            <w:r w:rsidRPr="004961D6">
              <w:rPr>
                <w:rFonts w:ascii="Calibri" w:eastAsia="Times New Roman" w:hAnsi="Calibri"/>
                <w:sz w:val="18"/>
                <w:szCs w:val="18"/>
              </w:rPr>
              <w:t>(i) The classification system used for formulation, execution and reporting of the central {SN} government’s budget [for the sector].</w:t>
            </w:r>
          </w:p>
        </w:tc>
        <w:tc>
          <w:tcPr>
            <w:tcW w:w="346" w:type="pct"/>
            <w:tcBorders>
              <w:top w:val="nil"/>
              <w:left w:val="nil"/>
              <w:bottom w:val="single" w:sz="4" w:space="0" w:color="auto"/>
              <w:right w:val="single" w:sz="4" w:space="0" w:color="auto"/>
            </w:tcBorders>
            <w:shd w:val="clear" w:color="auto" w:fill="auto"/>
            <w:hideMark/>
          </w:tcPr>
          <w:p w14:paraId="3EA2C3A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053971E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07D4862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7F2ABBE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9D42AB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1E48BE5"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PI-6</w:t>
            </w:r>
          </w:p>
        </w:tc>
        <w:tc>
          <w:tcPr>
            <w:tcW w:w="3119" w:type="pct"/>
            <w:tcBorders>
              <w:top w:val="nil"/>
              <w:left w:val="nil"/>
              <w:bottom w:val="single" w:sz="4" w:space="0" w:color="auto"/>
              <w:right w:val="single" w:sz="4" w:space="0" w:color="auto"/>
            </w:tcBorders>
            <w:shd w:val="clear" w:color="auto" w:fill="auto"/>
            <w:hideMark/>
          </w:tcPr>
          <w:p w14:paraId="37D78F95"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Comprehensiveness of information included in budget documentation</w:t>
            </w:r>
          </w:p>
        </w:tc>
        <w:tc>
          <w:tcPr>
            <w:tcW w:w="346" w:type="pct"/>
            <w:tcBorders>
              <w:top w:val="nil"/>
              <w:left w:val="nil"/>
              <w:bottom w:val="single" w:sz="4" w:space="0" w:color="auto"/>
              <w:right w:val="single" w:sz="4" w:space="0" w:color="auto"/>
            </w:tcBorders>
            <w:shd w:val="clear" w:color="auto" w:fill="auto"/>
            <w:hideMark/>
          </w:tcPr>
          <w:p w14:paraId="63AC143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5B9108C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6609AE7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1C775A6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7F9FBC24"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B7672C9"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1A1E627D"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Share of the listed information in the budget documentation most recently issued by the central {SN} government {sector Minister}</w:t>
            </w:r>
          </w:p>
        </w:tc>
        <w:tc>
          <w:tcPr>
            <w:tcW w:w="346" w:type="pct"/>
            <w:tcBorders>
              <w:top w:val="nil"/>
              <w:left w:val="nil"/>
              <w:bottom w:val="single" w:sz="4" w:space="0" w:color="auto"/>
              <w:right w:val="single" w:sz="4" w:space="0" w:color="auto"/>
            </w:tcBorders>
            <w:shd w:val="clear" w:color="auto" w:fill="auto"/>
            <w:hideMark/>
          </w:tcPr>
          <w:p w14:paraId="1AB5043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2D70862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50D778E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7545537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4EAE0071"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E01AF09"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PI-7</w:t>
            </w:r>
          </w:p>
        </w:tc>
        <w:tc>
          <w:tcPr>
            <w:tcW w:w="3119" w:type="pct"/>
            <w:tcBorders>
              <w:top w:val="nil"/>
              <w:left w:val="nil"/>
              <w:bottom w:val="single" w:sz="4" w:space="0" w:color="auto"/>
              <w:right w:val="single" w:sz="4" w:space="0" w:color="auto"/>
            </w:tcBorders>
            <w:shd w:val="clear" w:color="auto" w:fill="auto"/>
            <w:hideMark/>
          </w:tcPr>
          <w:p w14:paraId="11A4ACC9"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Extent of unreported government operations</w:t>
            </w:r>
          </w:p>
        </w:tc>
        <w:tc>
          <w:tcPr>
            <w:tcW w:w="346" w:type="pct"/>
            <w:tcBorders>
              <w:top w:val="nil"/>
              <w:left w:val="nil"/>
              <w:bottom w:val="single" w:sz="4" w:space="0" w:color="auto"/>
              <w:right w:val="single" w:sz="4" w:space="0" w:color="auto"/>
            </w:tcBorders>
            <w:shd w:val="clear" w:color="auto" w:fill="auto"/>
            <w:hideMark/>
          </w:tcPr>
          <w:p w14:paraId="75855D8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1862F5D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277D15B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04B5D4B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3611F7D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453BCFB" w14:textId="77777777" w:rsidR="00887CA6" w:rsidRPr="004961D6" w:rsidRDefault="00887CA6" w:rsidP="00887CA6">
            <w:pPr>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1B859911" w14:textId="266D3929"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 xml:space="preserve">(i) The level of extra-budgetary expenditure (other than </w:t>
            </w:r>
            <w:r w:rsidR="006D0F85" w:rsidRPr="004961D6">
              <w:rPr>
                <w:rFonts w:ascii="Calibri" w:eastAsia="Times New Roman" w:hAnsi="Calibri"/>
                <w:sz w:val="18"/>
                <w:szCs w:val="18"/>
              </w:rPr>
              <w:t>donor-funded</w:t>
            </w:r>
            <w:r w:rsidRPr="004961D6">
              <w:rPr>
                <w:rFonts w:ascii="Calibri" w:eastAsia="Times New Roman" w:hAnsi="Calibri"/>
                <w:sz w:val="18"/>
                <w:szCs w:val="18"/>
              </w:rPr>
              <w:t xml:space="preserve"> projects) which is unreported i.e. not included in fiscal reports.</w:t>
            </w:r>
          </w:p>
        </w:tc>
        <w:tc>
          <w:tcPr>
            <w:tcW w:w="346" w:type="pct"/>
            <w:tcBorders>
              <w:top w:val="nil"/>
              <w:left w:val="nil"/>
              <w:bottom w:val="single" w:sz="4" w:space="0" w:color="auto"/>
              <w:right w:val="single" w:sz="4" w:space="0" w:color="auto"/>
            </w:tcBorders>
            <w:shd w:val="clear" w:color="auto" w:fill="auto"/>
            <w:hideMark/>
          </w:tcPr>
          <w:p w14:paraId="6F4DD74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184877D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2F29493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5DEBB1D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3B7D2F11"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A5DED89"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06E9955"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Income /expenditure information on donor-funded {sector} projects which is included in fiscal reports.</w:t>
            </w:r>
          </w:p>
        </w:tc>
        <w:tc>
          <w:tcPr>
            <w:tcW w:w="346" w:type="pct"/>
            <w:tcBorders>
              <w:top w:val="nil"/>
              <w:left w:val="nil"/>
              <w:bottom w:val="single" w:sz="4" w:space="0" w:color="auto"/>
              <w:right w:val="single" w:sz="4" w:space="0" w:color="auto"/>
            </w:tcBorders>
            <w:shd w:val="clear" w:color="auto" w:fill="auto"/>
            <w:hideMark/>
          </w:tcPr>
          <w:p w14:paraId="1DFD0F5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1041948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3EEBF3C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7CF4195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09CB79E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C8380CF"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PI-8</w:t>
            </w:r>
          </w:p>
        </w:tc>
        <w:tc>
          <w:tcPr>
            <w:tcW w:w="3119" w:type="pct"/>
            <w:tcBorders>
              <w:top w:val="nil"/>
              <w:left w:val="nil"/>
              <w:bottom w:val="single" w:sz="4" w:space="0" w:color="auto"/>
              <w:right w:val="single" w:sz="4" w:space="0" w:color="auto"/>
            </w:tcBorders>
            <w:shd w:val="clear" w:color="auto" w:fill="auto"/>
            <w:hideMark/>
          </w:tcPr>
          <w:p w14:paraId="6BF152AC"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Transparency of inter-governmental fiscal relations</w:t>
            </w:r>
          </w:p>
        </w:tc>
        <w:tc>
          <w:tcPr>
            <w:tcW w:w="346" w:type="pct"/>
            <w:tcBorders>
              <w:top w:val="nil"/>
              <w:left w:val="nil"/>
              <w:bottom w:val="single" w:sz="4" w:space="0" w:color="auto"/>
              <w:right w:val="single" w:sz="4" w:space="0" w:color="auto"/>
            </w:tcBorders>
            <w:shd w:val="clear" w:color="auto" w:fill="auto"/>
            <w:hideMark/>
          </w:tcPr>
          <w:p w14:paraId="23FD89A5" w14:textId="77777777" w:rsidR="00887CA6" w:rsidRPr="004961D6" w:rsidRDefault="00887CA6" w:rsidP="00887CA6">
            <w:pPr>
              <w:jc w:val="center"/>
              <w:rPr>
                <w:rFonts w:ascii="Calibri" w:eastAsia="Times New Roman" w:hAnsi="Calibri"/>
                <w:b/>
                <w:bCs/>
                <w:i/>
                <w:iCs/>
                <w:sz w:val="18"/>
                <w:szCs w:val="18"/>
              </w:rPr>
            </w:pPr>
            <w:r w:rsidRPr="004961D6">
              <w:rPr>
                <w:rFonts w:ascii="Calibri" w:eastAsia="Times New Roman" w:hAnsi="Calibri"/>
                <w:b/>
                <w:bCs/>
                <w:i/>
                <w:iCs/>
                <w:sz w:val="18"/>
                <w:szCs w:val="18"/>
              </w:rPr>
              <w:t>D</w:t>
            </w:r>
          </w:p>
        </w:tc>
        <w:tc>
          <w:tcPr>
            <w:tcW w:w="346" w:type="pct"/>
            <w:tcBorders>
              <w:top w:val="nil"/>
              <w:left w:val="nil"/>
              <w:bottom w:val="single" w:sz="4" w:space="0" w:color="auto"/>
              <w:right w:val="single" w:sz="4" w:space="0" w:color="auto"/>
            </w:tcBorders>
            <w:shd w:val="clear" w:color="auto" w:fill="auto"/>
            <w:hideMark/>
          </w:tcPr>
          <w:p w14:paraId="50964DD7"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31351536" w14:textId="77777777" w:rsidR="00887CA6" w:rsidRPr="004961D6" w:rsidRDefault="00887CA6" w:rsidP="00887CA6">
            <w:pPr>
              <w:jc w:val="center"/>
              <w:rPr>
                <w:rFonts w:ascii="Calibri" w:eastAsia="Times New Roman" w:hAnsi="Calibri"/>
                <w:b/>
                <w:bCs/>
                <w:i/>
                <w:iCs/>
                <w:sz w:val="18"/>
                <w:szCs w:val="18"/>
              </w:rPr>
            </w:pPr>
            <w:r w:rsidRPr="004961D6">
              <w:rPr>
                <w:rFonts w:ascii="Calibri" w:eastAsia="Times New Roman" w:hAnsi="Calibri"/>
                <w:b/>
                <w:bCs/>
                <w:i/>
                <w:i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5C7B85D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r>
      <w:tr w:rsidR="00887CA6" w:rsidRPr="00887CA6" w14:paraId="75C855EC"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5E106E1B"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75CDDD2"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Transparent and rules based systems in the horizontal allocation among SN governments of unconditional and conditional transfers from central government (both budgeted and actual allocations);</w:t>
            </w:r>
          </w:p>
        </w:tc>
        <w:tc>
          <w:tcPr>
            <w:tcW w:w="346" w:type="pct"/>
            <w:tcBorders>
              <w:top w:val="nil"/>
              <w:left w:val="nil"/>
              <w:bottom w:val="single" w:sz="4" w:space="0" w:color="auto"/>
              <w:right w:val="single" w:sz="4" w:space="0" w:color="auto"/>
            </w:tcBorders>
            <w:shd w:val="clear" w:color="auto" w:fill="auto"/>
            <w:hideMark/>
          </w:tcPr>
          <w:p w14:paraId="00B69D3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8BA8F0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280E4BB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477BDC8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7183EC9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1953CFE"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7551924B"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Timeliness of reliable information to SN governments on their allocations from central government for the coming year;</w:t>
            </w:r>
          </w:p>
        </w:tc>
        <w:tc>
          <w:tcPr>
            <w:tcW w:w="346" w:type="pct"/>
            <w:tcBorders>
              <w:top w:val="nil"/>
              <w:left w:val="nil"/>
              <w:bottom w:val="single" w:sz="4" w:space="0" w:color="auto"/>
              <w:right w:val="single" w:sz="4" w:space="0" w:color="auto"/>
            </w:tcBorders>
            <w:shd w:val="clear" w:color="auto" w:fill="auto"/>
            <w:hideMark/>
          </w:tcPr>
          <w:p w14:paraId="5566460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4F993AE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4475B13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721D84F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5131A50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D17973F"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D122F9E"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Extent to which consolidated fiscal data (at least on revenue and expenditure) is collected and reported for general government according to sectoral categories.</w:t>
            </w:r>
          </w:p>
        </w:tc>
        <w:tc>
          <w:tcPr>
            <w:tcW w:w="346" w:type="pct"/>
            <w:tcBorders>
              <w:top w:val="nil"/>
              <w:left w:val="nil"/>
              <w:bottom w:val="single" w:sz="4" w:space="0" w:color="auto"/>
              <w:right w:val="single" w:sz="4" w:space="0" w:color="auto"/>
            </w:tcBorders>
            <w:shd w:val="clear" w:color="auto" w:fill="auto"/>
            <w:hideMark/>
          </w:tcPr>
          <w:p w14:paraId="7DB9913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5305F75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26EF0D0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3BD40E3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B03276B"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893CF1B"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lastRenderedPageBreak/>
              <w:t>PI-9</w:t>
            </w:r>
          </w:p>
        </w:tc>
        <w:tc>
          <w:tcPr>
            <w:tcW w:w="3119" w:type="pct"/>
            <w:tcBorders>
              <w:top w:val="nil"/>
              <w:left w:val="nil"/>
              <w:bottom w:val="single" w:sz="4" w:space="0" w:color="auto"/>
              <w:right w:val="single" w:sz="4" w:space="0" w:color="auto"/>
            </w:tcBorders>
            <w:shd w:val="clear" w:color="auto" w:fill="auto"/>
            <w:hideMark/>
          </w:tcPr>
          <w:p w14:paraId="597D4468"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Oversight of aggregate fiscal risk from other public sector entities</w:t>
            </w:r>
          </w:p>
        </w:tc>
        <w:tc>
          <w:tcPr>
            <w:tcW w:w="346" w:type="pct"/>
            <w:tcBorders>
              <w:top w:val="nil"/>
              <w:left w:val="nil"/>
              <w:bottom w:val="single" w:sz="4" w:space="0" w:color="auto"/>
              <w:right w:val="single" w:sz="4" w:space="0" w:color="auto"/>
            </w:tcBorders>
            <w:shd w:val="clear" w:color="auto" w:fill="auto"/>
            <w:hideMark/>
          </w:tcPr>
          <w:p w14:paraId="35B61E87"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26BDE53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5E0FC72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1E57D7E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58EC3CC1"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30BED91"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BA5A844"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Extent of central government monitoring of AGAs and PEs.</w:t>
            </w:r>
          </w:p>
        </w:tc>
        <w:tc>
          <w:tcPr>
            <w:tcW w:w="346" w:type="pct"/>
            <w:tcBorders>
              <w:top w:val="nil"/>
              <w:left w:val="nil"/>
              <w:bottom w:val="single" w:sz="4" w:space="0" w:color="auto"/>
              <w:right w:val="single" w:sz="4" w:space="0" w:color="auto"/>
            </w:tcBorders>
            <w:shd w:val="clear" w:color="auto" w:fill="auto"/>
            <w:hideMark/>
          </w:tcPr>
          <w:p w14:paraId="4D353BAD"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0E3F492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2CE6D0F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2DEC2FA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426E745C"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9E3AF52"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EC9DC9E"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Extent of central government monitoring of SN government's fiscal position</w:t>
            </w:r>
          </w:p>
        </w:tc>
        <w:tc>
          <w:tcPr>
            <w:tcW w:w="346" w:type="pct"/>
            <w:tcBorders>
              <w:top w:val="nil"/>
              <w:left w:val="nil"/>
              <w:bottom w:val="single" w:sz="4" w:space="0" w:color="auto"/>
              <w:right w:val="single" w:sz="4" w:space="0" w:color="auto"/>
            </w:tcBorders>
            <w:shd w:val="clear" w:color="auto" w:fill="auto"/>
            <w:hideMark/>
          </w:tcPr>
          <w:p w14:paraId="11216EB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4AA2449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4E2E3F5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5F4057A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0826233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272C218"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PI-10</w:t>
            </w:r>
          </w:p>
        </w:tc>
        <w:tc>
          <w:tcPr>
            <w:tcW w:w="3119" w:type="pct"/>
            <w:tcBorders>
              <w:top w:val="nil"/>
              <w:left w:val="nil"/>
              <w:bottom w:val="single" w:sz="4" w:space="0" w:color="auto"/>
              <w:right w:val="single" w:sz="4" w:space="0" w:color="auto"/>
            </w:tcBorders>
            <w:shd w:val="clear" w:color="auto" w:fill="auto"/>
            <w:hideMark/>
          </w:tcPr>
          <w:p w14:paraId="278CCFF0"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Public access to key fiscal information</w:t>
            </w:r>
          </w:p>
        </w:tc>
        <w:tc>
          <w:tcPr>
            <w:tcW w:w="346" w:type="pct"/>
            <w:tcBorders>
              <w:top w:val="nil"/>
              <w:left w:val="nil"/>
              <w:bottom w:val="single" w:sz="4" w:space="0" w:color="auto"/>
              <w:right w:val="single" w:sz="4" w:space="0" w:color="auto"/>
            </w:tcBorders>
            <w:shd w:val="clear" w:color="auto" w:fill="auto"/>
            <w:hideMark/>
          </w:tcPr>
          <w:p w14:paraId="6011ED0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2ABED9E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76BAE4EF"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7AED997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176EA60B"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A217727"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noWrap/>
            <w:hideMark/>
          </w:tcPr>
          <w:p w14:paraId="30E4F746" w14:textId="77777777" w:rsidR="00887CA6" w:rsidRPr="004961D6" w:rsidRDefault="00887CA6" w:rsidP="00887CA6">
            <w:pPr>
              <w:jc w:val="both"/>
              <w:outlineLvl w:val="0"/>
              <w:rPr>
                <w:rFonts w:ascii="Calibri" w:eastAsia="Times New Roman" w:hAnsi="Calibri"/>
                <w:sz w:val="18"/>
                <w:szCs w:val="18"/>
              </w:rPr>
            </w:pPr>
            <w:r w:rsidRPr="004961D6">
              <w:rPr>
                <w:rFonts w:ascii="Calibri" w:eastAsia="Times New Roman" w:hAnsi="Calibri"/>
                <w:sz w:val="18"/>
                <w:szCs w:val="18"/>
              </w:rPr>
              <w:t>(i) Number of the  listed elements of public access to information that is fulfilled</w:t>
            </w:r>
          </w:p>
        </w:tc>
        <w:tc>
          <w:tcPr>
            <w:tcW w:w="346" w:type="pct"/>
            <w:tcBorders>
              <w:top w:val="nil"/>
              <w:left w:val="nil"/>
              <w:bottom w:val="single" w:sz="4" w:space="0" w:color="auto"/>
              <w:right w:val="single" w:sz="4" w:space="0" w:color="auto"/>
            </w:tcBorders>
            <w:shd w:val="clear" w:color="auto" w:fill="auto"/>
            <w:hideMark/>
          </w:tcPr>
          <w:p w14:paraId="5AEF05A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1EB9C87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584C586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03E8DCE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51F3F225" w14:textId="77777777" w:rsidTr="00887CA6">
        <w:trPr>
          <w:trHeight w:val="20"/>
        </w:trPr>
        <w:tc>
          <w:tcPr>
            <w:tcW w:w="273" w:type="pct"/>
            <w:tcBorders>
              <w:top w:val="nil"/>
              <w:left w:val="single" w:sz="4" w:space="0" w:color="auto"/>
              <w:bottom w:val="single" w:sz="4" w:space="0" w:color="auto"/>
              <w:right w:val="single" w:sz="4" w:space="0" w:color="auto"/>
            </w:tcBorders>
            <w:shd w:val="clear" w:color="000000" w:fill="ACD6A7" w:themeFill="accent4" w:themeFillTint="99"/>
            <w:hideMark/>
          </w:tcPr>
          <w:p w14:paraId="0AE4A29B"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000000" w:fill="ACD6A7" w:themeFill="accent4" w:themeFillTint="99"/>
            <w:hideMark/>
          </w:tcPr>
          <w:p w14:paraId="003EC70A"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C. BUDGET CYCLE</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03667CFD"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0DD5ABC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592C16DF"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569" w:type="pct"/>
            <w:gridSpan w:val="2"/>
            <w:tcBorders>
              <w:top w:val="nil"/>
              <w:left w:val="nil"/>
              <w:bottom w:val="single" w:sz="4" w:space="0" w:color="auto"/>
              <w:right w:val="single" w:sz="4" w:space="0" w:color="auto"/>
            </w:tcBorders>
            <w:shd w:val="clear" w:color="000000" w:fill="ACD6A7" w:themeFill="accent4" w:themeFillTint="99"/>
            <w:hideMark/>
          </w:tcPr>
          <w:p w14:paraId="0B763C4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r>
      <w:tr w:rsidR="00887CA6" w:rsidRPr="00887CA6" w14:paraId="56545DC1" w14:textId="77777777" w:rsidTr="00887CA6">
        <w:trPr>
          <w:trHeight w:val="20"/>
        </w:trPr>
        <w:tc>
          <w:tcPr>
            <w:tcW w:w="273" w:type="pct"/>
            <w:tcBorders>
              <w:top w:val="nil"/>
              <w:left w:val="single" w:sz="4" w:space="0" w:color="auto"/>
              <w:bottom w:val="single" w:sz="4" w:space="0" w:color="auto"/>
              <w:right w:val="single" w:sz="4" w:space="0" w:color="auto"/>
            </w:tcBorders>
            <w:shd w:val="clear" w:color="000000" w:fill="C7E3C4" w:themeFill="accent4" w:themeFillTint="66"/>
            <w:hideMark/>
          </w:tcPr>
          <w:p w14:paraId="169D5AAC"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000000" w:fill="C7E3C4" w:themeFill="accent4" w:themeFillTint="66"/>
            <w:hideMark/>
          </w:tcPr>
          <w:p w14:paraId="2DAC3B2C"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C(i) Policy based Budgeting</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4366D3C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5AD7A6D3"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1E27E09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569" w:type="pct"/>
            <w:gridSpan w:val="2"/>
            <w:tcBorders>
              <w:top w:val="nil"/>
              <w:left w:val="nil"/>
              <w:bottom w:val="single" w:sz="4" w:space="0" w:color="auto"/>
              <w:right w:val="single" w:sz="4" w:space="0" w:color="auto"/>
            </w:tcBorders>
            <w:shd w:val="clear" w:color="000000" w:fill="C7E3C4" w:themeFill="accent4" w:themeFillTint="66"/>
            <w:hideMark/>
          </w:tcPr>
          <w:p w14:paraId="7ADEF47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r>
      <w:tr w:rsidR="00887CA6" w:rsidRPr="00887CA6" w14:paraId="332DC5CC"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D9D92B2"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PI-11</w:t>
            </w:r>
          </w:p>
        </w:tc>
        <w:tc>
          <w:tcPr>
            <w:tcW w:w="3119" w:type="pct"/>
            <w:tcBorders>
              <w:top w:val="nil"/>
              <w:left w:val="nil"/>
              <w:bottom w:val="single" w:sz="4" w:space="0" w:color="auto"/>
              <w:right w:val="single" w:sz="4" w:space="0" w:color="auto"/>
            </w:tcBorders>
            <w:shd w:val="clear" w:color="auto" w:fill="auto"/>
            <w:hideMark/>
          </w:tcPr>
          <w:p w14:paraId="2111B1D9"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Orderliness and participation in the annual budget process</w:t>
            </w:r>
          </w:p>
        </w:tc>
        <w:tc>
          <w:tcPr>
            <w:tcW w:w="346" w:type="pct"/>
            <w:tcBorders>
              <w:top w:val="nil"/>
              <w:left w:val="nil"/>
              <w:bottom w:val="single" w:sz="4" w:space="0" w:color="auto"/>
              <w:right w:val="single" w:sz="4" w:space="0" w:color="auto"/>
            </w:tcBorders>
            <w:shd w:val="clear" w:color="auto" w:fill="auto"/>
            <w:hideMark/>
          </w:tcPr>
          <w:p w14:paraId="3EE09CF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49F3508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1664405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1F058E3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r>
      <w:tr w:rsidR="00887CA6" w:rsidRPr="00887CA6" w14:paraId="0A8C3C6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E09F993"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5FB86DC4"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Existence of and adherence to a fixed budget calendar;</w:t>
            </w:r>
          </w:p>
        </w:tc>
        <w:tc>
          <w:tcPr>
            <w:tcW w:w="346" w:type="pct"/>
            <w:tcBorders>
              <w:top w:val="nil"/>
              <w:left w:val="nil"/>
              <w:bottom w:val="single" w:sz="4" w:space="0" w:color="auto"/>
              <w:right w:val="single" w:sz="4" w:space="0" w:color="auto"/>
            </w:tcBorders>
            <w:shd w:val="clear" w:color="auto" w:fill="auto"/>
            <w:hideMark/>
          </w:tcPr>
          <w:p w14:paraId="4157F1A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5DECB1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2F22245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4BDA236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B85DBD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0F5C7B5"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FFB3C81"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Clarity/ comprehensiveness of and political involvement in the guidance on the preparation of budget submissions (budget circular or equivalent);</w:t>
            </w:r>
          </w:p>
        </w:tc>
        <w:tc>
          <w:tcPr>
            <w:tcW w:w="346" w:type="pct"/>
            <w:tcBorders>
              <w:top w:val="nil"/>
              <w:left w:val="nil"/>
              <w:bottom w:val="single" w:sz="4" w:space="0" w:color="auto"/>
              <w:right w:val="single" w:sz="4" w:space="0" w:color="auto"/>
            </w:tcBorders>
            <w:shd w:val="clear" w:color="auto" w:fill="auto"/>
            <w:hideMark/>
          </w:tcPr>
          <w:p w14:paraId="544CDAD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2374F40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58C27CA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38359AF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3B432E6F"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594F2A68"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D1AC241"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Timely budget approval by the legislature or similarly mandated body  {or Sector Minister} (within the last three years);</w:t>
            </w:r>
          </w:p>
        </w:tc>
        <w:tc>
          <w:tcPr>
            <w:tcW w:w="346" w:type="pct"/>
            <w:tcBorders>
              <w:top w:val="nil"/>
              <w:left w:val="nil"/>
              <w:bottom w:val="single" w:sz="4" w:space="0" w:color="auto"/>
              <w:right w:val="single" w:sz="4" w:space="0" w:color="auto"/>
            </w:tcBorders>
            <w:shd w:val="clear" w:color="auto" w:fill="auto"/>
            <w:hideMark/>
          </w:tcPr>
          <w:p w14:paraId="169B15B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569D397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8B178B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7B710E6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1D16105A"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B593311"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PI-12</w:t>
            </w:r>
          </w:p>
        </w:tc>
        <w:tc>
          <w:tcPr>
            <w:tcW w:w="3119" w:type="pct"/>
            <w:tcBorders>
              <w:top w:val="nil"/>
              <w:left w:val="nil"/>
              <w:bottom w:val="single" w:sz="4" w:space="0" w:color="auto"/>
              <w:right w:val="single" w:sz="4" w:space="0" w:color="auto"/>
            </w:tcBorders>
            <w:shd w:val="clear" w:color="auto" w:fill="auto"/>
            <w:hideMark/>
          </w:tcPr>
          <w:p w14:paraId="4808C561"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Multi-year perspective in fiscal planning, expenditure policy and budgeting</w:t>
            </w:r>
          </w:p>
        </w:tc>
        <w:tc>
          <w:tcPr>
            <w:tcW w:w="346" w:type="pct"/>
            <w:tcBorders>
              <w:top w:val="nil"/>
              <w:left w:val="nil"/>
              <w:bottom w:val="single" w:sz="4" w:space="0" w:color="auto"/>
              <w:right w:val="single" w:sz="4" w:space="0" w:color="auto"/>
            </w:tcBorders>
            <w:shd w:val="clear" w:color="auto" w:fill="auto"/>
            <w:hideMark/>
          </w:tcPr>
          <w:p w14:paraId="1388E88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064DC8D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711F416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571D60C3"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5DCD6CE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27E1BAB"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AF85A31"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Preparation of multi -year fiscal forecasts and functional allocations</w:t>
            </w:r>
          </w:p>
        </w:tc>
        <w:tc>
          <w:tcPr>
            <w:tcW w:w="346" w:type="pct"/>
            <w:tcBorders>
              <w:top w:val="nil"/>
              <w:left w:val="nil"/>
              <w:bottom w:val="single" w:sz="4" w:space="0" w:color="auto"/>
              <w:right w:val="single" w:sz="4" w:space="0" w:color="auto"/>
            </w:tcBorders>
            <w:shd w:val="clear" w:color="auto" w:fill="auto"/>
            <w:hideMark/>
          </w:tcPr>
          <w:p w14:paraId="54A8F95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17376D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75A230CD"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6A37127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BD849F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CD6A5F1"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1A8DCDA"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Scope and frequency of debt sustainability analysis</w:t>
            </w:r>
          </w:p>
        </w:tc>
        <w:tc>
          <w:tcPr>
            <w:tcW w:w="346" w:type="pct"/>
            <w:tcBorders>
              <w:top w:val="nil"/>
              <w:left w:val="nil"/>
              <w:bottom w:val="single" w:sz="4" w:space="0" w:color="auto"/>
              <w:right w:val="single" w:sz="4" w:space="0" w:color="auto"/>
            </w:tcBorders>
            <w:shd w:val="clear" w:color="auto" w:fill="auto"/>
            <w:hideMark/>
          </w:tcPr>
          <w:p w14:paraId="062D69E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1745243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528BA65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5278B58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1B0849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39B623A"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B141386"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Existence of sector strategies with multi-year costing of recurrent and investment expenditure;</w:t>
            </w:r>
          </w:p>
        </w:tc>
        <w:tc>
          <w:tcPr>
            <w:tcW w:w="346" w:type="pct"/>
            <w:tcBorders>
              <w:top w:val="nil"/>
              <w:left w:val="nil"/>
              <w:bottom w:val="single" w:sz="4" w:space="0" w:color="auto"/>
              <w:right w:val="single" w:sz="4" w:space="0" w:color="auto"/>
            </w:tcBorders>
            <w:shd w:val="clear" w:color="auto" w:fill="auto"/>
            <w:hideMark/>
          </w:tcPr>
          <w:p w14:paraId="7C3DEE5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6EEC965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05500CE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6B0CB60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35ABE70E"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BDB3825"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405D27C"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(iv)  Linkages between investment budgets and forward expenditure estimates.</w:t>
            </w:r>
          </w:p>
        </w:tc>
        <w:tc>
          <w:tcPr>
            <w:tcW w:w="346" w:type="pct"/>
            <w:tcBorders>
              <w:top w:val="nil"/>
              <w:left w:val="nil"/>
              <w:bottom w:val="single" w:sz="4" w:space="0" w:color="auto"/>
              <w:right w:val="single" w:sz="4" w:space="0" w:color="auto"/>
            </w:tcBorders>
            <w:shd w:val="clear" w:color="auto" w:fill="auto"/>
            <w:hideMark/>
          </w:tcPr>
          <w:p w14:paraId="5E68C03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3A3617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5DDED76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48F9E3F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0598FD4" w14:textId="77777777" w:rsidTr="00887CA6">
        <w:trPr>
          <w:trHeight w:val="20"/>
        </w:trPr>
        <w:tc>
          <w:tcPr>
            <w:tcW w:w="273" w:type="pct"/>
            <w:tcBorders>
              <w:top w:val="nil"/>
              <w:left w:val="single" w:sz="4" w:space="0" w:color="auto"/>
              <w:bottom w:val="single" w:sz="4" w:space="0" w:color="auto"/>
              <w:right w:val="single" w:sz="4" w:space="0" w:color="auto"/>
            </w:tcBorders>
            <w:shd w:val="clear" w:color="000000" w:fill="C7E3C4" w:themeFill="accent4" w:themeFillTint="66"/>
            <w:hideMark/>
          </w:tcPr>
          <w:p w14:paraId="1ECBD9E2"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000000" w:fill="C7E3C4" w:themeFill="accent4" w:themeFillTint="66"/>
            <w:hideMark/>
          </w:tcPr>
          <w:p w14:paraId="0D7265C2"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C(ii) Predictability and Control in Budget Execution</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78B66ED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09C7CE4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51416A6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569" w:type="pct"/>
            <w:gridSpan w:val="2"/>
            <w:tcBorders>
              <w:top w:val="nil"/>
              <w:left w:val="nil"/>
              <w:bottom w:val="single" w:sz="4" w:space="0" w:color="auto"/>
              <w:right w:val="single" w:sz="4" w:space="0" w:color="auto"/>
            </w:tcBorders>
            <w:shd w:val="clear" w:color="000000" w:fill="C7E3C4" w:themeFill="accent4" w:themeFillTint="66"/>
            <w:hideMark/>
          </w:tcPr>
          <w:p w14:paraId="559C183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r>
      <w:tr w:rsidR="00887CA6" w:rsidRPr="00887CA6" w14:paraId="1D252B4E"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6EFAB67"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PI-13</w:t>
            </w:r>
          </w:p>
        </w:tc>
        <w:tc>
          <w:tcPr>
            <w:tcW w:w="3119" w:type="pct"/>
            <w:tcBorders>
              <w:top w:val="nil"/>
              <w:left w:val="nil"/>
              <w:bottom w:val="single" w:sz="4" w:space="0" w:color="auto"/>
              <w:right w:val="single" w:sz="4" w:space="0" w:color="auto"/>
            </w:tcBorders>
            <w:shd w:val="clear" w:color="auto" w:fill="auto"/>
            <w:hideMark/>
          </w:tcPr>
          <w:p w14:paraId="138F8422"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 xml:space="preserve">Transparency of taxpayer obligations and liabilities </w:t>
            </w:r>
          </w:p>
        </w:tc>
        <w:tc>
          <w:tcPr>
            <w:tcW w:w="346" w:type="pct"/>
            <w:tcBorders>
              <w:top w:val="nil"/>
              <w:left w:val="nil"/>
              <w:bottom w:val="single" w:sz="4" w:space="0" w:color="auto"/>
              <w:right w:val="single" w:sz="4" w:space="0" w:color="auto"/>
            </w:tcBorders>
            <w:shd w:val="clear" w:color="auto" w:fill="auto"/>
            <w:hideMark/>
          </w:tcPr>
          <w:p w14:paraId="03CCCD8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62F6020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12B8605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4653EFD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r>
      <w:tr w:rsidR="00887CA6" w:rsidRPr="00887CA6" w14:paraId="31693A41"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5FB1026"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7BA76036"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Clarity and comprehensiveness of tax liabilities</w:t>
            </w:r>
          </w:p>
        </w:tc>
        <w:tc>
          <w:tcPr>
            <w:tcW w:w="346" w:type="pct"/>
            <w:tcBorders>
              <w:top w:val="nil"/>
              <w:left w:val="nil"/>
              <w:bottom w:val="single" w:sz="4" w:space="0" w:color="auto"/>
              <w:right w:val="single" w:sz="4" w:space="0" w:color="auto"/>
            </w:tcBorders>
            <w:shd w:val="clear" w:color="auto" w:fill="auto"/>
            <w:hideMark/>
          </w:tcPr>
          <w:p w14:paraId="5F22F2B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5AC68DD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0E3BEA1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2B8F3EC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0CCDA2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CECAC27"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0E951429"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Taxpayer access to information on tax liabilities and administrative procedures.</w:t>
            </w:r>
          </w:p>
        </w:tc>
        <w:tc>
          <w:tcPr>
            <w:tcW w:w="346" w:type="pct"/>
            <w:tcBorders>
              <w:top w:val="nil"/>
              <w:left w:val="nil"/>
              <w:bottom w:val="single" w:sz="4" w:space="0" w:color="auto"/>
              <w:right w:val="single" w:sz="4" w:space="0" w:color="auto"/>
            </w:tcBorders>
            <w:shd w:val="clear" w:color="auto" w:fill="auto"/>
            <w:hideMark/>
          </w:tcPr>
          <w:p w14:paraId="0833210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2C86722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CD69BA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101F6E0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08DF2F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DD93127"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03F8719"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Existence and functioning of a tax appeals mechanism.</w:t>
            </w:r>
          </w:p>
        </w:tc>
        <w:tc>
          <w:tcPr>
            <w:tcW w:w="346" w:type="pct"/>
            <w:tcBorders>
              <w:top w:val="nil"/>
              <w:left w:val="nil"/>
              <w:bottom w:val="single" w:sz="4" w:space="0" w:color="auto"/>
              <w:right w:val="single" w:sz="4" w:space="0" w:color="auto"/>
            </w:tcBorders>
            <w:shd w:val="clear" w:color="auto" w:fill="auto"/>
            <w:hideMark/>
          </w:tcPr>
          <w:p w14:paraId="602EB38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AA94B8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4BC2866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00ABF97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45BD3D0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0AFCCEC"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PI-14</w:t>
            </w:r>
          </w:p>
        </w:tc>
        <w:tc>
          <w:tcPr>
            <w:tcW w:w="3119" w:type="pct"/>
            <w:tcBorders>
              <w:top w:val="nil"/>
              <w:left w:val="nil"/>
              <w:bottom w:val="single" w:sz="4" w:space="0" w:color="auto"/>
              <w:right w:val="single" w:sz="4" w:space="0" w:color="auto"/>
            </w:tcBorders>
            <w:shd w:val="clear" w:color="auto" w:fill="auto"/>
            <w:hideMark/>
          </w:tcPr>
          <w:p w14:paraId="33554616"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Effectiveness of measures for taxpayer registration and tax assessment</w:t>
            </w:r>
          </w:p>
        </w:tc>
        <w:tc>
          <w:tcPr>
            <w:tcW w:w="346" w:type="pct"/>
            <w:tcBorders>
              <w:top w:val="nil"/>
              <w:left w:val="nil"/>
              <w:bottom w:val="single" w:sz="4" w:space="0" w:color="auto"/>
              <w:right w:val="single" w:sz="4" w:space="0" w:color="auto"/>
            </w:tcBorders>
            <w:shd w:val="clear" w:color="auto" w:fill="auto"/>
            <w:hideMark/>
          </w:tcPr>
          <w:p w14:paraId="696E975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52B13DF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74A350F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3866404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764F74DC"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7DA65AC"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07B3932"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Controls in the taxpayer registration system.</w:t>
            </w:r>
          </w:p>
        </w:tc>
        <w:tc>
          <w:tcPr>
            <w:tcW w:w="346" w:type="pct"/>
            <w:tcBorders>
              <w:top w:val="nil"/>
              <w:left w:val="nil"/>
              <w:bottom w:val="single" w:sz="4" w:space="0" w:color="auto"/>
              <w:right w:val="single" w:sz="4" w:space="0" w:color="auto"/>
            </w:tcBorders>
            <w:shd w:val="clear" w:color="auto" w:fill="auto"/>
            <w:hideMark/>
          </w:tcPr>
          <w:p w14:paraId="724E187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90D7D4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558AC90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484E138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03E35D84"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14307D1"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38FCC58"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Effectiveness of penalties for non-compliance with registration and declaration obligations</w:t>
            </w:r>
          </w:p>
        </w:tc>
        <w:tc>
          <w:tcPr>
            <w:tcW w:w="346" w:type="pct"/>
            <w:tcBorders>
              <w:top w:val="nil"/>
              <w:left w:val="nil"/>
              <w:bottom w:val="single" w:sz="4" w:space="0" w:color="auto"/>
              <w:right w:val="single" w:sz="4" w:space="0" w:color="auto"/>
            </w:tcBorders>
            <w:shd w:val="clear" w:color="auto" w:fill="auto"/>
            <w:hideMark/>
          </w:tcPr>
          <w:p w14:paraId="1E9F29A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5B0CE14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182B27D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4AA3AAF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A8B7E3A"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4874DDF"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15C33157"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Planning and monitoring of tax audit and fraud investigation programs.</w:t>
            </w:r>
          </w:p>
        </w:tc>
        <w:tc>
          <w:tcPr>
            <w:tcW w:w="346" w:type="pct"/>
            <w:tcBorders>
              <w:top w:val="nil"/>
              <w:left w:val="nil"/>
              <w:bottom w:val="single" w:sz="4" w:space="0" w:color="auto"/>
              <w:right w:val="single" w:sz="4" w:space="0" w:color="auto"/>
            </w:tcBorders>
            <w:shd w:val="clear" w:color="auto" w:fill="auto"/>
            <w:hideMark/>
          </w:tcPr>
          <w:p w14:paraId="7C489B7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0880FB4D"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57356F2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37F5C4C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0EF8BBD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4767926"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PI-15</w:t>
            </w:r>
          </w:p>
        </w:tc>
        <w:tc>
          <w:tcPr>
            <w:tcW w:w="3119" w:type="pct"/>
            <w:tcBorders>
              <w:top w:val="nil"/>
              <w:left w:val="nil"/>
              <w:bottom w:val="single" w:sz="4" w:space="0" w:color="auto"/>
              <w:right w:val="single" w:sz="4" w:space="0" w:color="auto"/>
            </w:tcBorders>
            <w:shd w:val="clear" w:color="auto" w:fill="auto"/>
            <w:hideMark/>
          </w:tcPr>
          <w:p w14:paraId="501266DE"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 xml:space="preserve">Effectiveness in collection of tax payments </w:t>
            </w:r>
          </w:p>
        </w:tc>
        <w:tc>
          <w:tcPr>
            <w:tcW w:w="346" w:type="pct"/>
            <w:tcBorders>
              <w:top w:val="nil"/>
              <w:left w:val="nil"/>
              <w:bottom w:val="single" w:sz="4" w:space="0" w:color="auto"/>
              <w:right w:val="single" w:sz="4" w:space="0" w:color="auto"/>
            </w:tcBorders>
            <w:shd w:val="clear" w:color="auto" w:fill="auto"/>
            <w:hideMark/>
          </w:tcPr>
          <w:p w14:paraId="6D01381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62D2150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307DE12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68333157"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65B9587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74AC36D"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0A381FC4"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Collection ratio for gross tax arrears, being the percentage of tax arrears at the beginning of a fiscal year, which was collected during that fiscal year (average of the last two fiscal years).</w:t>
            </w:r>
          </w:p>
        </w:tc>
        <w:tc>
          <w:tcPr>
            <w:tcW w:w="346" w:type="pct"/>
            <w:tcBorders>
              <w:top w:val="nil"/>
              <w:left w:val="nil"/>
              <w:bottom w:val="single" w:sz="4" w:space="0" w:color="auto"/>
              <w:right w:val="single" w:sz="4" w:space="0" w:color="auto"/>
            </w:tcBorders>
            <w:shd w:val="clear" w:color="auto" w:fill="auto"/>
            <w:hideMark/>
          </w:tcPr>
          <w:p w14:paraId="26275CB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4F1CF9B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25A52A3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4C514B0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9829B5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282A04D" w14:textId="77777777" w:rsidR="00887CA6" w:rsidRPr="004961D6" w:rsidRDefault="00887CA6" w:rsidP="00887CA6">
            <w:pPr>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84C54C2"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Effectiveness of transfer of tax collections to the Treasury by the revenue administration.</w:t>
            </w:r>
          </w:p>
        </w:tc>
        <w:tc>
          <w:tcPr>
            <w:tcW w:w="346" w:type="pct"/>
            <w:tcBorders>
              <w:top w:val="nil"/>
              <w:left w:val="nil"/>
              <w:bottom w:val="single" w:sz="4" w:space="0" w:color="auto"/>
              <w:right w:val="single" w:sz="4" w:space="0" w:color="auto"/>
            </w:tcBorders>
            <w:shd w:val="clear" w:color="auto" w:fill="auto"/>
            <w:hideMark/>
          </w:tcPr>
          <w:p w14:paraId="635C657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6AACD7D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03E18F5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7F4447C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645226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28D86B6"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A75B994"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Frequency of complete accounts reconciliation between tax assessments, collections, arrears records and receipts by the Treasury.</w:t>
            </w:r>
          </w:p>
        </w:tc>
        <w:tc>
          <w:tcPr>
            <w:tcW w:w="346" w:type="pct"/>
            <w:tcBorders>
              <w:top w:val="nil"/>
              <w:left w:val="nil"/>
              <w:bottom w:val="single" w:sz="4" w:space="0" w:color="auto"/>
              <w:right w:val="single" w:sz="4" w:space="0" w:color="auto"/>
            </w:tcBorders>
            <w:shd w:val="clear" w:color="auto" w:fill="auto"/>
            <w:hideMark/>
          </w:tcPr>
          <w:p w14:paraId="015D24D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6D5BA0F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6F3B723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569A3DE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4055EF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55469E31"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PI-16</w:t>
            </w:r>
          </w:p>
        </w:tc>
        <w:tc>
          <w:tcPr>
            <w:tcW w:w="3119" w:type="pct"/>
            <w:tcBorders>
              <w:top w:val="nil"/>
              <w:left w:val="nil"/>
              <w:bottom w:val="single" w:sz="4" w:space="0" w:color="auto"/>
              <w:right w:val="single" w:sz="4" w:space="0" w:color="auto"/>
            </w:tcBorders>
            <w:shd w:val="clear" w:color="auto" w:fill="auto"/>
            <w:hideMark/>
          </w:tcPr>
          <w:p w14:paraId="112F9B8A"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Predictability in the availability of funds for commitment of expenditures</w:t>
            </w:r>
          </w:p>
        </w:tc>
        <w:tc>
          <w:tcPr>
            <w:tcW w:w="346" w:type="pct"/>
            <w:tcBorders>
              <w:top w:val="nil"/>
              <w:left w:val="nil"/>
              <w:bottom w:val="single" w:sz="4" w:space="0" w:color="auto"/>
              <w:right w:val="single" w:sz="4" w:space="0" w:color="auto"/>
            </w:tcBorders>
            <w:shd w:val="clear" w:color="auto" w:fill="auto"/>
            <w:hideMark/>
          </w:tcPr>
          <w:p w14:paraId="6A6EB98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34D032F4"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323F9C5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4D5DD6C7"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298F8E6F"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D191F4A"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7D259DC"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Extent to which cash flows are forecast and monitored.</w:t>
            </w:r>
          </w:p>
        </w:tc>
        <w:tc>
          <w:tcPr>
            <w:tcW w:w="346" w:type="pct"/>
            <w:tcBorders>
              <w:top w:val="nil"/>
              <w:left w:val="nil"/>
              <w:bottom w:val="single" w:sz="4" w:space="0" w:color="auto"/>
              <w:right w:val="single" w:sz="4" w:space="0" w:color="auto"/>
            </w:tcBorders>
            <w:shd w:val="clear" w:color="auto" w:fill="auto"/>
            <w:hideMark/>
          </w:tcPr>
          <w:p w14:paraId="6BCE300D"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6016487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51E73D9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2F31EE4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75AB2D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3581457"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511032D"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Reliability and horizon of periodic in-year information to MDAs on ceilings for expenditure commitment</w:t>
            </w:r>
          </w:p>
        </w:tc>
        <w:tc>
          <w:tcPr>
            <w:tcW w:w="346" w:type="pct"/>
            <w:tcBorders>
              <w:top w:val="nil"/>
              <w:left w:val="nil"/>
              <w:bottom w:val="single" w:sz="4" w:space="0" w:color="auto"/>
              <w:right w:val="single" w:sz="4" w:space="0" w:color="auto"/>
            </w:tcBorders>
            <w:shd w:val="clear" w:color="auto" w:fill="auto"/>
            <w:hideMark/>
          </w:tcPr>
          <w:p w14:paraId="58B3D0A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05597C4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55026EB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595D322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591D254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D8B37A0"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lastRenderedPageBreak/>
              <w:t> </w:t>
            </w:r>
          </w:p>
        </w:tc>
        <w:tc>
          <w:tcPr>
            <w:tcW w:w="3119" w:type="pct"/>
            <w:tcBorders>
              <w:top w:val="nil"/>
              <w:left w:val="nil"/>
              <w:bottom w:val="single" w:sz="4" w:space="0" w:color="auto"/>
              <w:right w:val="single" w:sz="4" w:space="0" w:color="auto"/>
            </w:tcBorders>
            <w:shd w:val="clear" w:color="auto" w:fill="auto"/>
            <w:hideMark/>
          </w:tcPr>
          <w:p w14:paraId="00E1A8FB"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Frequency and transparency of adjustments to budget allocations, which are decided above the level of management of MDAs.</w:t>
            </w:r>
          </w:p>
        </w:tc>
        <w:tc>
          <w:tcPr>
            <w:tcW w:w="346" w:type="pct"/>
            <w:tcBorders>
              <w:top w:val="nil"/>
              <w:left w:val="nil"/>
              <w:bottom w:val="single" w:sz="4" w:space="0" w:color="auto"/>
              <w:right w:val="single" w:sz="4" w:space="0" w:color="auto"/>
            </w:tcBorders>
            <w:shd w:val="clear" w:color="auto" w:fill="auto"/>
            <w:hideMark/>
          </w:tcPr>
          <w:p w14:paraId="6C1C4CF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14C1B13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65B9732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1683CB5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1ECB2E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E2B9F48"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PI-17</w:t>
            </w:r>
          </w:p>
        </w:tc>
        <w:tc>
          <w:tcPr>
            <w:tcW w:w="3119" w:type="pct"/>
            <w:tcBorders>
              <w:top w:val="nil"/>
              <w:left w:val="nil"/>
              <w:bottom w:val="single" w:sz="4" w:space="0" w:color="auto"/>
              <w:right w:val="single" w:sz="4" w:space="0" w:color="auto"/>
            </w:tcBorders>
            <w:shd w:val="clear" w:color="auto" w:fill="auto"/>
            <w:hideMark/>
          </w:tcPr>
          <w:p w14:paraId="7A8A777A"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Recording and management of cash balances, debt and guarantees</w:t>
            </w:r>
          </w:p>
        </w:tc>
        <w:tc>
          <w:tcPr>
            <w:tcW w:w="346" w:type="pct"/>
            <w:tcBorders>
              <w:top w:val="nil"/>
              <w:left w:val="nil"/>
              <w:bottom w:val="single" w:sz="4" w:space="0" w:color="auto"/>
              <w:right w:val="single" w:sz="4" w:space="0" w:color="auto"/>
            </w:tcBorders>
            <w:shd w:val="clear" w:color="auto" w:fill="auto"/>
            <w:hideMark/>
          </w:tcPr>
          <w:p w14:paraId="2D1679D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524DAE2F"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092022EF"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30E8E6D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699922B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09817DE"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05D8724C" w14:textId="77777777" w:rsidR="00887CA6" w:rsidRPr="004961D6" w:rsidRDefault="00887CA6" w:rsidP="00887CA6">
            <w:pPr>
              <w:outlineLvl w:val="0"/>
              <w:rPr>
                <w:rFonts w:ascii="Calibri" w:eastAsia="Times New Roman" w:hAnsi="Calibri"/>
                <w:sz w:val="18"/>
                <w:szCs w:val="18"/>
              </w:rPr>
            </w:pPr>
            <w:r w:rsidRPr="004961D6">
              <w:rPr>
                <w:rFonts w:ascii="Calibri" w:eastAsia="Times New Roman" w:hAnsi="Calibri"/>
                <w:sz w:val="18"/>
                <w:szCs w:val="18"/>
              </w:rPr>
              <w:t>(i) Quality of debt data recording and reporting</w:t>
            </w:r>
          </w:p>
        </w:tc>
        <w:tc>
          <w:tcPr>
            <w:tcW w:w="346" w:type="pct"/>
            <w:tcBorders>
              <w:top w:val="nil"/>
              <w:left w:val="nil"/>
              <w:bottom w:val="single" w:sz="4" w:space="0" w:color="auto"/>
              <w:right w:val="single" w:sz="4" w:space="0" w:color="auto"/>
            </w:tcBorders>
            <w:shd w:val="clear" w:color="auto" w:fill="auto"/>
            <w:hideMark/>
          </w:tcPr>
          <w:p w14:paraId="5BA58E7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958838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53BA2F9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28C0055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FAF2D19"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2D566A0"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FCEDF0B" w14:textId="77777777" w:rsidR="00887CA6" w:rsidRPr="004961D6" w:rsidRDefault="00887CA6" w:rsidP="00887CA6">
            <w:pPr>
              <w:outlineLvl w:val="0"/>
              <w:rPr>
                <w:rFonts w:ascii="Calibri" w:eastAsia="Times New Roman" w:hAnsi="Calibri"/>
                <w:sz w:val="18"/>
                <w:szCs w:val="18"/>
              </w:rPr>
            </w:pPr>
            <w:r w:rsidRPr="004961D6">
              <w:rPr>
                <w:rFonts w:ascii="Calibri" w:eastAsia="Times New Roman" w:hAnsi="Calibri"/>
                <w:sz w:val="18"/>
                <w:szCs w:val="18"/>
              </w:rPr>
              <w:t>(ii) Extent of consolidation of the government’s cash balances</w:t>
            </w:r>
          </w:p>
        </w:tc>
        <w:tc>
          <w:tcPr>
            <w:tcW w:w="346" w:type="pct"/>
            <w:tcBorders>
              <w:top w:val="nil"/>
              <w:left w:val="nil"/>
              <w:bottom w:val="single" w:sz="4" w:space="0" w:color="auto"/>
              <w:right w:val="single" w:sz="4" w:space="0" w:color="auto"/>
            </w:tcBorders>
            <w:shd w:val="clear" w:color="auto" w:fill="auto"/>
            <w:hideMark/>
          </w:tcPr>
          <w:p w14:paraId="7E4F777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49A6311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07B565A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550A1AB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3A43A27"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E6223BF"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16024668" w14:textId="77777777" w:rsidR="00887CA6" w:rsidRPr="004961D6" w:rsidRDefault="00887CA6" w:rsidP="00887CA6">
            <w:pPr>
              <w:outlineLvl w:val="0"/>
              <w:rPr>
                <w:rFonts w:ascii="Calibri" w:eastAsia="Times New Roman" w:hAnsi="Calibri"/>
                <w:sz w:val="18"/>
                <w:szCs w:val="18"/>
              </w:rPr>
            </w:pPr>
            <w:r w:rsidRPr="004961D6">
              <w:rPr>
                <w:rFonts w:ascii="Calibri" w:eastAsia="Times New Roman" w:hAnsi="Calibri"/>
                <w:sz w:val="18"/>
                <w:szCs w:val="18"/>
              </w:rPr>
              <w:t>(iii) Systems for contracting loans and issuance of guarantees.</w:t>
            </w:r>
          </w:p>
        </w:tc>
        <w:tc>
          <w:tcPr>
            <w:tcW w:w="346" w:type="pct"/>
            <w:tcBorders>
              <w:top w:val="nil"/>
              <w:left w:val="nil"/>
              <w:bottom w:val="single" w:sz="4" w:space="0" w:color="auto"/>
              <w:right w:val="single" w:sz="4" w:space="0" w:color="auto"/>
            </w:tcBorders>
            <w:shd w:val="clear" w:color="auto" w:fill="auto"/>
            <w:hideMark/>
          </w:tcPr>
          <w:p w14:paraId="7053CC8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59DA8BE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3036A2C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3B10193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1F509019"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E57EEF0"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PI-18</w:t>
            </w:r>
          </w:p>
        </w:tc>
        <w:tc>
          <w:tcPr>
            <w:tcW w:w="3119" w:type="pct"/>
            <w:tcBorders>
              <w:top w:val="nil"/>
              <w:left w:val="nil"/>
              <w:bottom w:val="single" w:sz="4" w:space="0" w:color="auto"/>
              <w:right w:val="single" w:sz="4" w:space="0" w:color="auto"/>
            </w:tcBorders>
            <w:shd w:val="clear" w:color="auto" w:fill="auto"/>
            <w:hideMark/>
          </w:tcPr>
          <w:p w14:paraId="0E76684C"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Effectiveness of payroll controls</w:t>
            </w:r>
          </w:p>
        </w:tc>
        <w:tc>
          <w:tcPr>
            <w:tcW w:w="346" w:type="pct"/>
            <w:tcBorders>
              <w:top w:val="nil"/>
              <w:left w:val="nil"/>
              <w:bottom w:val="single" w:sz="4" w:space="0" w:color="auto"/>
              <w:right w:val="single" w:sz="4" w:space="0" w:color="auto"/>
            </w:tcBorders>
            <w:shd w:val="clear" w:color="auto" w:fill="auto"/>
            <w:hideMark/>
          </w:tcPr>
          <w:p w14:paraId="6F8BEFD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667E03B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0B609ACF"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141FB43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105FBEB4"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0B4CFD1" w14:textId="77777777" w:rsidR="00887CA6" w:rsidRPr="004961D6" w:rsidRDefault="00887CA6" w:rsidP="00887CA6">
            <w:pPr>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39582BB"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Degree of integration and reconciliation between personnel records and payroll data.</w:t>
            </w:r>
          </w:p>
        </w:tc>
        <w:tc>
          <w:tcPr>
            <w:tcW w:w="346" w:type="pct"/>
            <w:tcBorders>
              <w:top w:val="nil"/>
              <w:left w:val="nil"/>
              <w:bottom w:val="single" w:sz="4" w:space="0" w:color="auto"/>
              <w:right w:val="single" w:sz="4" w:space="0" w:color="auto"/>
            </w:tcBorders>
            <w:shd w:val="clear" w:color="auto" w:fill="auto"/>
            <w:hideMark/>
          </w:tcPr>
          <w:p w14:paraId="79C518D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1958142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630A00C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11CD69C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545A81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423B6D6"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92A1978"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 xml:space="preserve">(ii) Timeliness of changes to personnel records and the payroll  </w:t>
            </w:r>
          </w:p>
        </w:tc>
        <w:tc>
          <w:tcPr>
            <w:tcW w:w="346" w:type="pct"/>
            <w:tcBorders>
              <w:top w:val="nil"/>
              <w:left w:val="nil"/>
              <w:bottom w:val="single" w:sz="4" w:space="0" w:color="auto"/>
              <w:right w:val="single" w:sz="4" w:space="0" w:color="auto"/>
            </w:tcBorders>
            <w:shd w:val="clear" w:color="auto" w:fill="auto"/>
            <w:hideMark/>
          </w:tcPr>
          <w:p w14:paraId="4F1FCF6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1263C4B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187D3E8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17D36E9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159316D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C4F288A"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03D32555"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Internal controls of changes to personnel records and the payroll.</w:t>
            </w:r>
          </w:p>
        </w:tc>
        <w:tc>
          <w:tcPr>
            <w:tcW w:w="346" w:type="pct"/>
            <w:tcBorders>
              <w:top w:val="nil"/>
              <w:left w:val="nil"/>
              <w:bottom w:val="single" w:sz="4" w:space="0" w:color="auto"/>
              <w:right w:val="single" w:sz="4" w:space="0" w:color="auto"/>
            </w:tcBorders>
            <w:shd w:val="clear" w:color="auto" w:fill="auto"/>
            <w:hideMark/>
          </w:tcPr>
          <w:p w14:paraId="564BD04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581CF3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4FF75D4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5FC14C2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1A070A2B"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6E0D395"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A21D6EB"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(iv) Existence of payroll audits to identify control weaknesses and/or ghost workers.</w:t>
            </w:r>
          </w:p>
        </w:tc>
        <w:tc>
          <w:tcPr>
            <w:tcW w:w="346" w:type="pct"/>
            <w:tcBorders>
              <w:top w:val="nil"/>
              <w:left w:val="nil"/>
              <w:bottom w:val="single" w:sz="4" w:space="0" w:color="auto"/>
              <w:right w:val="single" w:sz="4" w:space="0" w:color="auto"/>
            </w:tcBorders>
            <w:shd w:val="clear" w:color="auto" w:fill="auto"/>
            <w:hideMark/>
          </w:tcPr>
          <w:p w14:paraId="3F3EBC6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4CE9CB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56049B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39F8D4C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A4AED8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B1DD87C"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PI-19</w:t>
            </w:r>
          </w:p>
        </w:tc>
        <w:tc>
          <w:tcPr>
            <w:tcW w:w="3119" w:type="pct"/>
            <w:tcBorders>
              <w:top w:val="nil"/>
              <w:left w:val="nil"/>
              <w:bottom w:val="single" w:sz="4" w:space="0" w:color="auto"/>
              <w:right w:val="single" w:sz="4" w:space="0" w:color="auto"/>
            </w:tcBorders>
            <w:shd w:val="clear" w:color="auto" w:fill="auto"/>
            <w:hideMark/>
          </w:tcPr>
          <w:p w14:paraId="6306BDC0"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Competition, value for money and controls in procurement</w:t>
            </w:r>
          </w:p>
        </w:tc>
        <w:tc>
          <w:tcPr>
            <w:tcW w:w="346" w:type="pct"/>
            <w:tcBorders>
              <w:top w:val="nil"/>
              <w:left w:val="nil"/>
              <w:bottom w:val="single" w:sz="4" w:space="0" w:color="auto"/>
              <w:right w:val="single" w:sz="4" w:space="0" w:color="auto"/>
            </w:tcBorders>
            <w:shd w:val="clear" w:color="auto" w:fill="auto"/>
            <w:hideMark/>
          </w:tcPr>
          <w:p w14:paraId="14AA4B24"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6411562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082216B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1ECE457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79F5035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noWrap/>
            <w:hideMark/>
          </w:tcPr>
          <w:p w14:paraId="5786EF9E"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i and ii</w:t>
            </w:r>
          </w:p>
        </w:tc>
        <w:tc>
          <w:tcPr>
            <w:tcW w:w="3119" w:type="pct"/>
            <w:tcBorders>
              <w:top w:val="nil"/>
              <w:left w:val="nil"/>
              <w:bottom w:val="single" w:sz="4" w:space="0" w:color="auto"/>
              <w:right w:val="single" w:sz="4" w:space="0" w:color="auto"/>
            </w:tcBorders>
            <w:shd w:val="clear" w:color="auto" w:fill="auto"/>
            <w:hideMark/>
          </w:tcPr>
          <w:p w14:paraId="6EA3543E"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Transparency, comprehensiveness and competition in the legal and regulatory framework</w:t>
            </w:r>
          </w:p>
        </w:tc>
        <w:tc>
          <w:tcPr>
            <w:tcW w:w="346" w:type="pct"/>
            <w:tcBorders>
              <w:top w:val="nil"/>
              <w:left w:val="nil"/>
              <w:bottom w:val="single" w:sz="4" w:space="0" w:color="auto"/>
              <w:right w:val="single" w:sz="4" w:space="0" w:color="auto"/>
            </w:tcBorders>
            <w:shd w:val="clear" w:color="auto" w:fill="auto"/>
            <w:hideMark/>
          </w:tcPr>
          <w:p w14:paraId="0AE3B22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5C3758A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5251565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15690BC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679FB29"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noWrap/>
            <w:hideMark/>
          </w:tcPr>
          <w:p w14:paraId="478F0A95"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i and ii</w:t>
            </w:r>
          </w:p>
        </w:tc>
        <w:tc>
          <w:tcPr>
            <w:tcW w:w="3119" w:type="pct"/>
            <w:tcBorders>
              <w:top w:val="nil"/>
              <w:left w:val="nil"/>
              <w:bottom w:val="single" w:sz="4" w:space="0" w:color="auto"/>
              <w:right w:val="single" w:sz="4" w:space="0" w:color="auto"/>
            </w:tcBorders>
            <w:shd w:val="clear" w:color="auto" w:fill="auto"/>
            <w:hideMark/>
          </w:tcPr>
          <w:p w14:paraId="5595E373"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Use of competitive procurement methods</w:t>
            </w:r>
          </w:p>
        </w:tc>
        <w:tc>
          <w:tcPr>
            <w:tcW w:w="346" w:type="pct"/>
            <w:tcBorders>
              <w:top w:val="nil"/>
              <w:left w:val="nil"/>
              <w:bottom w:val="single" w:sz="4" w:space="0" w:color="auto"/>
              <w:right w:val="single" w:sz="4" w:space="0" w:color="auto"/>
            </w:tcBorders>
            <w:shd w:val="clear" w:color="auto" w:fill="auto"/>
            <w:hideMark/>
          </w:tcPr>
          <w:p w14:paraId="72438D2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248A7A2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6F7D803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3CAD7BF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3C4E7D3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noWrap/>
            <w:hideMark/>
          </w:tcPr>
          <w:p w14:paraId="70A54FD3"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10F43C21"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Public access to complete, reliable and timely procurement information</w:t>
            </w:r>
          </w:p>
        </w:tc>
        <w:tc>
          <w:tcPr>
            <w:tcW w:w="346" w:type="pct"/>
            <w:tcBorders>
              <w:top w:val="nil"/>
              <w:left w:val="nil"/>
              <w:bottom w:val="single" w:sz="4" w:space="0" w:color="auto"/>
              <w:right w:val="single" w:sz="4" w:space="0" w:color="auto"/>
            </w:tcBorders>
            <w:shd w:val="clear" w:color="auto" w:fill="auto"/>
            <w:hideMark/>
          </w:tcPr>
          <w:p w14:paraId="04B375D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3BB6C66" w14:textId="77777777" w:rsidR="00887CA6" w:rsidRPr="004961D6" w:rsidRDefault="00887CA6" w:rsidP="00887CA6">
            <w:pPr>
              <w:jc w:val="center"/>
              <w:outlineLvl w:val="0"/>
              <w:rPr>
                <w:rFonts w:ascii="Calibri" w:eastAsia="Times New Roman" w:hAnsi="Calibri"/>
                <w:i/>
                <w:iCs/>
                <w:sz w:val="18"/>
                <w:szCs w:val="18"/>
              </w:rPr>
            </w:pPr>
            <w:r w:rsidRPr="004961D6">
              <w:rPr>
                <w:rFonts w:ascii="Calibri" w:eastAsia="Times New Roman" w:hAnsi="Calibri"/>
                <w:i/>
                <w:iCs/>
                <w:sz w:val="18"/>
                <w:szCs w:val="18"/>
              </w:rPr>
              <w:t>C</w:t>
            </w:r>
          </w:p>
        </w:tc>
        <w:tc>
          <w:tcPr>
            <w:tcW w:w="346" w:type="pct"/>
            <w:tcBorders>
              <w:top w:val="nil"/>
              <w:left w:val="nil"/>
              <w:bottom w:val="single" w:sz="4" w:space="0" w:color="auto"/>
              <w:right w:val="single" w:sz="4" w:space="0" w:color="auto"/>
            </w:tcBorders>
            <w:shd w:val="clear" w:color="auto" w:fill="auto"/>
            <w:hideMark/>
          </w:tcPr>
          <w:p w14:paraId="783A7BF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76B296C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F33BDB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noWrap/>
            <w:hideMark/>
          </w:tcPr>
          <w:p w14:paraId="2A25D696"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iii</w:t>
            </w:r>
          </w:p>
        </w:tc>
        <w:tc>
          <w:tcPr>
            <w:tcW w:w="3119" w:type="pct"/>
            <w:tcBorders>
              <w:top w:val="nil"/>
              <w:left w:val="nil"/>
              <w:bottom w:val="single" w:sz="4" w:space="0" w:color="auto"/>
              <w:right w:val="single" w:sz="4" w:space="0" w:color="auto"/>
            </w:tcBorders>
            <w:shd w:val="clear" w:color="auto" w:fill="auto"/>
            <w:hideMark/>
          </w:tcPr>
          <w:p w14:paraId="08A5EFCB"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iv) Existence of an independent administrative procurement complaints system.</w:t>
            </w:r>
          </w:p>
        </w:tc>
        <w:tc>
          <w:tcPr>
            <w:tcW w:w="346" w:type="pct"/>
            <w:tcBorders>
              <w:top w:val="nil"/>
              <w:left w:val="nil"/>
              <w:bottom w:val="single" w:sz="4" w:space="0" w:color="auto"/>
              <w:right w:val="single" w:sz="4" w:space="0" w:color="auto"/>
            </w:tcBorders>
            <w:shd w:val="clear" w:color="auto" w:fill="auto"/>
            <w:hideMark/>
          </w:tcPr>
          <w:p w14:paraId="60ECF42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D60030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676091C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7EC5A40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398D136C"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F014561"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PI-20</w:t>
            </w:r>
          </w:p>
        </w:tc>
        <w:tc>
          <w:tcPr>
            <w:tcW w:w="3119" w:type="pct"/>
            <w:tcBorders>
              <w:top w:val="nil"/>
              <w:left w:val="nil"/>
              <w:bottom w:val="single" w:sz="4" w:space="0" w:color="auto"/>
              <w:right w:val="single" w:sz="4" w:space="0" w:color="auto"/>
            </w:tcBorders>
            <w:shd w:val="clear" w:color="auto" w:fill="auto"/>
            <w:hideMark/>
          </w:tcPr>
          <w:p w14:paraId="6ECF93D8"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Effectiveness of internal controls for non-salary expenditure</w:t>
            </w:r>
          </w:p>
        </w:tc>
        <w:tc>
          <w:tcPr>
            <w:tcW w:w="346" w:type="pct"/>
            <w:tcBorders>
              <w:top w:val="nil"/>
              <w:left w:val="nil"/>
              <w:bottom w:val="single" w:sz="4" w:space="0" w:color="auto"/>
              <w:right w:val="single" w:sz="4" w:space="0" w:color="auto"/>
            </w:tcBorders>
            <w:shd w:val="clear" w:color="auto" w:fill="auto"/>
            <w:hideMark/>
          </w:tcPr>
          <w:p w14:paraId="2C67BE2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22F7B62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14143FB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67DD8D9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r>
      <w:tr w:rsidR="00887CA6" w:rsidRPr="00887CA6" w14:paraId="094BAD3B"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42EF9F6" w14:textId="77777777" w:rsidR="00887CA6" w:rsidRPr="004961D6" w:rsidRDefault="00887CA6" w:rsidP="00887CA6">
            <w:pPr>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9384981"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Effectiveness of expenditure commitment controls.</w:t>
            </w:r>
          </w:p>
        </w:tc>
        <w:tc>
          <w:tcPr>
            <w:tcW w:w="346" w:type="pct"/>
            <w:tcBorders>
              <w:top w:val="nil"/>
              <w:left w:val="nil"/>
              <w:bottom w:val="single" w:sz="4" w:space="0" w:color="auto"/>
              <w:right w:val="single" w:sz="4" w:space="0" w:color="auto"/>
            </w:tcBorders>
            <w:shd w:val="clear" w:color="auto" w:fill="auto"/>
            <w:hideMark/>
          </w:tcPr>
          <w:p w14:paraId="0F68AC8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DAEDE7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7899D3B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405B4AA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3A0FD3C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7416BA1"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3CAC5FE"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Comprehensiveness, relevance and understanding of other internal control rules/ procedures</w:t>
            </w:r>
          </w:p>
        </w:tc>
        <w:tc>
          <w:tcPr>
            <w:tcW w:w="346" w:type="pct"/>
            <w:tcBorders>
              <w:top w:val="nil"/>
              <w:left w:val="nil"/>
              <w:bottom w:val="single" w:sz="4" w:space="0" w:color="auto"/>
              <w:right w:val="single" w:sz="4" w:space="0" w:color="auto"/>
            </w:tcBorders>
            <w:shd w:val="clear" w:color="auto" w:fill="auto"/>
            <w:hideMark/>
          </w:tcPr>
          <w:p w14:paraId="751A9E8D"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19417C0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0040460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3CCA5AF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029D709"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C3D3831"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3A165AD"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Degree of compliance with rules for processing and recording transactions</w:t>
            </w:r>
          </w:p>
        </w:tc>
        <w:tc>
          <w:tcPr>
            <w:tcW w:w="346" w:type="pct"/>
            <w:tcBorders>
              <w:top w:val="nil"/>
              <w:left w:val="nil"/>
              <w:bottom w:val="single" w:sz="4" w:space="0" w:color="auto"/>
              <w:right w:val="single" w:sz="4" w:space="0" w:color="auto"/>
            </w:tcBorders>
            <w:shd w:val="clear" w:color="auto" w:fill="auto"/>
            <w:hideMark/>
          </w:tcPr>
          <w:p w14:paraId="01C6685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39D271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2EF2AA7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2E82EF7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4D84061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02B6B8F"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PI-21</w:t>
            </w:r>
          </w:p>
        </w:tc>
        <w:tc>
          <w:tcPr>
            <w:tcW w:w="3119" w:type="pct"/>
            <w:tcBorders>
              <w:top w:val="nil"/>
              <w:left w:val="nil"/>
              <w:bottom w:val="single" w:sz="4" w:space="0" w:color="auto"/>
              <w:right w:val="single" w:sz="4" w:space="0" w:color="auto"/>
            </w:tcBorders>
            <w:shd w:val="clear" w:color="auto" w:fill="auto"/>
            <w:hideMark/>
          </w:tcPr>
          <w:p w14:paraId="6CCA0704"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Effectiveness of internal audit</w:t>
            </w:r>
          </w:p>
        </w:tc>
        <w:tc>
          <w:tcPr>
            <w:tcW w:w="346" w:type="pct"/>
            <w:tcBorders>
              <w:top w:val="nil"/>
              <w:left w:val="nil"/>
              <w:bottom w:val="single" w:sz="4" w:space="0" w:color="auto"/>
              <w:right w:val="single" w:sz="4" w:space="0" w:color="auto"/>
            </w:tcBorders>
            <w:shd w:val="clear" w:color="auto" w:fill="auto"/>
            <w:hideMark/>
          </w:tcPr>
          <w:p w14:paraId="1D7C1BE4"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3D46C1F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5E8CB75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57615EF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00CD5F87"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5CEA5F38"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653D065"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Coverage and quality of the internal audit function.</w:t>
            </w:r>
          </w:p>
        </w:tc>
        <w:tc>
          <w:tcPr>
            <w:tcW w:w="346" w:type="pct"/>
            <w:tcBorders>
              <w:top w:val="nil"/>
              <w:left w:val="nil"/>
              <w:bottom w:val="single" w:sz="4" w:space="0" w:color="auto"/>
              <w:right w:val="single" w:sz="4" w:space="0" w:color="auto"/>
            </w:tcBorders>
            <w:shd w:val="clear" w:color="auto" w:fill="auto"/>
            <w:hideMark/>
          </w:tcPr>
          <w:p w14:paraId="786E7F7D"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421DE59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0FFD52A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0459B6F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47EFD7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1D67530"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7B5AA6A6"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Frequency and distribution of reports</w:t>
            </w:r>
          </w:p>
        </w:tc>
        <w:tc>
          <w:tcPr>
            <w:tcW w:w="346" w:type="pct"/>
            <w:tcBorders>
              <w:top w:val="nil"/>
              <w:left w:val="nil"/>
              <w:bottom w:val="single" w:sz="4" w:space="0" w:color="auto"/>
              <w:right w:val="single" w:sz="4" w:space="0" w:color="auto"/>
            </w:tcBorders>
            <w:shd w:val="clear" w:color="auto" w:fill="auto"/>
            <w:hideMark/>
          </w:tcPr>
          <w:p w14:paraId="5FB82F6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7FF816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014E18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1C1BE07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09E1E4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6CE759A"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798277C6"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Extent of management response to internal audit findings</w:t>
            </w:r>
          </w:p>
        </w:tc>
        <w:tc>
          <w:tcPr>
            <w:tcW w:w="346" w:type="pct"/>
            <w:tcBorders>
              <w:top w:val="nil"/>
              <w:left w:val="nil"/>
              <w:bottom w:val="single" w:sz="4" w:space="0" w:color="auto"/>
              <w:right w:val="single" w:sz="4" w:space="0" w:color="auto"/>
            </w:tcBorders>
            <w:shd w:val="clear" w:color="auto" w:fill="auto"/>
            <w:hideMark/>
          </w:tcPr>
          <w:p w14:paraId="1D39D72D"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4F0090B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3BCC59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5BF567D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014684FA" w14:textId="77777777" w:rsidTr="00887CA6">
        <w:trPr>
          <w:trHeight w:val="20"/>
        </w:trPr>
        <w:tc>
          <w:tcPr>
            <w:tcW w:w="273" w:type="pct"/>
            <w:tcBorders>
              <w:top w:val="nil"/>
              <w:left w:val="single" w:sz="4" w:space="0" w:color="auto"/>
              <w:bottom w:val="single" w:sz="4" w:space="0" w:color="auto"/>
              <w:right w:val="single" w:sz="4" w:space="0" w:color="auto"/>
            </w:tcBorders>
            <w:shd w:val="clear" w:color="000000" w:fill="C7E3C4" w:themeFill="accent4" w:themeFillTint="66"/>
            <w:hideMark/>
          </w:tcPr>
          <w:p w14:paraId="7CFBEB25"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000000" w:fill="C7E3C4" w:themeFill="accent4" w:themeFillTint="66"/>
            <w:hideMark/>
          </w:tcPr>
          <w:p w14:paraId="6778DF8D"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C(iii) Accounting, Recording  and Reporting</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232520D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6269417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7B01C4B3"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569" w:type="pct"/>
            <w:gridSpan w:val="2"/>
            <w:tcBorders>
              <w:top w:val="nil"/>
              <w:left w:val="nil"/>
              <w:bottom w:val="single" w:sz="4" w:space="0" w:color="auto"/>
              <w:right w:val="single" w:sz="4" w:space="0" w:color="auto"/>
            </w:tcBorders>
            <w:shd w:val="clear" w:color="000000" w:fill="C7E3C4" w:themeFill="accent4" w:themeFillTint="66"/>
            <w:hideMark/>
          </w:tcPr>
          <w:p w14:paraId="0DE4100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r>
      <w:tr w:rsidR="00887CA6" w:rsidRPr="00887CA6" w14:paraId="169C6A3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9682E69"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PI-22</w:t>
            </w:r>
          </w:p>
        </w:tc>
        <w:tc>
          <w:tcPr>
            <w:tcW w:w="3119" w:type="pct"/>
            <w:tcBorders>
              <w:top w:val="nil"/>
              <w:left w:val="nil"/>
              <w:bottom w:val="single" w:sz="4" w:space="0" w:color="auto"/>
              <w:right w:val="single" w:sz="4" w:space="0" w:color="auto"/>
            </w:tcBorders>
            <w:shd w:val="clear" w:color="auto" w:fill="auto"/>
            <w:hideMark/>
          </w:tcPr>
          <w:p w14:paraId="7CC91F79"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Timeliness and regularity of  accounts reconciliation</w:t>
            </w:r>
          </w:p>
        </w:tc>
        <w:tc>
          <w:tcPr>
            <w:tcW w:w="346" w:type="pct"/>
            <w:tcBorders>
              <w:top w:val="nil"/>
              <w:left w:val="nil"/>
              <w:bottom w:val="single" w:sz="4" w:space="0" w:color="auto"/>
              <w:right w:val="single" w:sz="4" w:space="0" w:color="auto"/>
            </w:tcBorders>
            <w:shd w:val="clear" w:color="auto" w:fill="auto"/>
            <w:hideMark/>
          </w:tcPr>
          <w:p w14:paraId="4AC96C8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2C55CAD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72546D3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2BEF4E5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3131B08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9A2C1CE"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3F1B3CF"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Regularity of bank reconciliations</w:t>
            </w:r>
          </w:p>
        </w:tc>
        <w:tc>
          <w:tcPr>
            <w:tcW w:w="346" w:type="pct"/>
            <w:tcBorders>
              <w:top w:val="nil"/>
              <w:left w:val="nil"/>
              <w:bottom w:val="single" w:sz="4" w:space="0" w:color="auto"/>
              <w:right w:val="single" w:sz="4" w:space="0" w:color="auto"/>
            </w:tcBorders>
            <w:shd w:val="clear" w:color="auto" w:fill="auto"/>
            <w:hideMark/>
          </w:tcPr>
          <w:p w14:paraId="2A8BD9F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5236142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7FAEF45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75E0192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1A718A0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5A4E1045"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7FD3101D"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Regularity of reconciliation and clearance of suspense accounts and advances.</w:t>
            </w:r>
          </w:p>
        </w:tc>
        <w:tc>
          <w:tcPr>
            <w:tcW w:w="346" w:type="pct"/>
            <w:tcBorders>
              <w:top w:val="nil"/>
              <w:left w:val="nil"/>
              <w:bottom w:val="single" w:sz="4" w:space="0" w:color="auto"/>
              <w:right w:val="single" w:sz="4" w:space="0" w:color="auto"/>
            </w:tcBorders>
            <w:shd w:val="clear" w:color="auto" w:fill="auto"/>
            <w:hideMark/>
          </w:tcPr>
          <w:p w14:paraId="5F1E1BB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211982E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6ABFF92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61C695E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43586157"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0C7D5A1"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PI-23</w:t>
            </w:r>
          </w:p>
        </w:tc>
        <w:tc>
          <w:tcPr>
            <w:tcW w:w="3119" w:type="pct"/>
            <w:tcBorders>
              <w:top w:val="nil"/>
              <w:left w:val="nil"/>
              <w:bottom w:val="single" w:sz="4" w:space="0" w:color="auto"/>
              <w:right w:val="single" w:sz="4" w:space="0" w:color="auto"/>
            </w:tcBorders>
            <w:shd w:val="clear" w:color="auto" w:fill="auto"/>
            <w:hideMark/>
          </w:tcPr>
          <w:p w14:paraId="5D5B3ABB"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Availability of information on resources received by service delivery units</w:t>
            </w:r>
          </w:p>
        </w:tc>
        <w:tc>
          <w:tcPr>
            <w:tcW w:w="346" w:type="pct"/>
            <w:tcBorders>
              <w:top w:val="nil"/>
              <w:left w:val="nil"/>
              <w:bottom w:val="single" w:sz="4" w:space="0" w:color="auto"/>
              <w:right w:val="single" w:sz="4" w:space="0" w:color="auto"/>
            </w:tcBorders>
            <w:shd w:val="clear" w:color="auto" w:fill="auto"/>
            <w:hideMark/>
          </w:tcPr>
          <w:p w14:paraId="0FE90F73"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7B025763"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23DF5C0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4ADAB4D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45C3A64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09B1A27"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94711F3"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Collection and processing of information to demonstrate the resources that were actually received (in cash and kind) by the most common front-line service delivery units (focus on primary schools and primary health clinics) in relation to the overall resources made available to the sector(s), irrespective of which level of government is responsible for the operation and funding of those units.</w:t>
            </w:r>
          </w:p>
        </w:tc>
        <w:tc>
          <w:tcPr>
            <w:tcW w:w="346" w:type="pct"/>
            <w:tcBorders>
              <w:top w:val="nil"/>
              <w:left w:val="nil"/>
              <w:bottom w:val="single" w:sz="4" w:space="0" w:color="auto"/>
              <w:right w:val="single" w:sz="4" w:space="0" w:color="auto"/>
            </w:tcBorders>
            <w:shd w:val="clear" w:color="auto" w:fill="auto"/>
            <w:hideMark/>
          </w:tcPr>
          <w:p w14:paraId="4688719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B799CC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0380FEC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06BAC27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E3D249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DCEB11B"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PI-24</w:t>
            </w:r>
          </w:p>
        </w:tc>
        <w:tc>
          <w:tcPr>
            <w:tcW w:w="3119" w:type="pct"/>
            <w:tcBorders>
              <w:top w:val="nil"/>
              <w:left w:val="nil"/>
              <w:bottom w:val="single" w:sz="4" w:space="0" w:color="auto"/>
              <w:right w:val="single" w:sz="4" w:space="0" w:color="auto"/>
            </w:tcBorders>
            <w:shd w:val="clear" w:color="auto" w:fill="auto"/>
            <w:hideMark/>
          </w:tcPr>
          <w:p w14:paraId="7D6D454D"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Quality and timeliness of in-year budget reports</w:t>
            </w:r>
          </w:p>
        </w:tc>
        <w:tc>
          <w:tcPr>
            <w:tcW w:w="346" w:type="pct"/>
            <w:tcBorders>
              <w:top w:val="nil"/>
              <w:left w:val="nil"/>
              <w:bottom w:val="single" w:sz="4" w:space="0" w:color="auto"/>
              <w:right w:val="single" w:sz="4" w:space="0" w:color="auto"/>
            </w:tcBorders>
            <w:shd w:val="clear" w:color="auto" w:fill="auto"/>
            <w:hideMark/>
          </w:tcPr>
          <w:p w14:paraId="64089BC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394CDE1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54EFCB33"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0E5356FF"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7D365A2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AB19848"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lastRenderedPageBreak/>
              <w:t> </w:t>
            </w:r>
          </w:p>
        </w:tc>
        <w:tc>
          <w:tcPr>
            <w:tcW w:w="3119" w:type="pct"/>
            <w:tcBorders>
              <w:top w:val="nil"/>
              <w:left w:val="nil"/>
              <w:bottom w:val="single" w:sz="4" w:space="0" w:color="auto"/>
              <w:right w:val="single" w:sz="4" w:space="0" w:color="auto"/>
            </w:tcBorders>
            <w:shd w:val="clear" w:color="auto" w:fill="auto"/>
            <w:hideMark/>
          </w:tcPr>
          <w:p w14:paraId="0A2C03C9"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Scope of {sector} reports in terms of coverage and compatibility with budget estimates</w:t>
            </w:r>
          </w:p>
        </w:tc>
        <w:tc>
          <w:tcPr>
            <w:tcW w:w="346" w:type="pct"/>
            <w:tcBorders>
              <w:top w:val="nil"/>
              <w:left w:val="nil"/>
              <w:bottom w:val="single" w:sz="4" w:space="0" w:color="auto"/>
              <w:right w:val="single" w:sz="4" w:space="0" w:color="auto"/>
            </w:tcBorders>
            <w:shd w:val="clear" w:color="auto" w:fill="auto"/>
            <w:hideMark/>
          </w:tcPr>
          <w:p w14:paraId="5599F2C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0E03EEC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47EBEF0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413DDC3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CE2F8D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92CCBFB" w14:textId="77777777" w:rsidR="00887CA6" w:rsidRPr="004961D6" w:rsidRDefault="00887CA6" w:rsidP="00887CA6">
            <w:pPr>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69A18F4"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Timeliness of the issue of reports</w:t>
            </w:r>
          </w:p>
        </w:tc>
        <w:tc>
          <w:tcPr>
            <w:tcW w:w="346" w:type="pct"/>
            <w:tcBorders>
              <w:top w:val="nil"/>
              <w:left w:val="nil"/>
              <w:bottom w:val="single" w:sz="4" w:space="0" w:color="auto"/>
              <w:right w:val="single" w:sz="4" w:space="0" w:color="auto"/>
            </w:tcBorders>
            <w:shd w:val="clear" w:color="auto" w:fill="auto"/>
            <w:hideMark/>
          </w:tcPr>
          <w:p w14:paraId="50BC080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588CE80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30AD6B0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07F0686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9A0B2EA"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A71F2E8"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0805FBC"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Quality of information</w:t>
            </w:r>
          </w:p>
        </w:tc>
        <w:tc>
          <w:tcPr>
            <w:tcW w:w="346" w:type="pct"/>
            <w:tcBorders>
              <w:top w:val="nil"/>
              <w:left w:val="nil"/>
              <w:bottom w:val="single" w:sz="4" w:space="0" w:color="auto"/>
              <w:right w:val="single" w:sz="4" w:space="0" w:color="auto"/>
            </w:tcBorders>
            <w:shd w:val="clear" w:color="auto" w:fill="auto"/>
            <w:hideMark/>
          </w:tcPr>
          <w:p w14:paraId="77E584A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B1E5D2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16E83F1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66C834D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54629853"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4FC906E"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PI-25</w:t>
            </w:r>
          </w:p>
        </w:tc>
        <w:tc>
          <w:tcPr>
            <w:tcW w:w="3119" w:type="pct"/>
            <w:tcBorders>
              <w:top w:val="nil"/>
              <w:left w:val="nil"/>
              <w:bottom w:val="single" w:sz="4" w:space="0" w:color="auto"/>
              <w:right w:val="single" w:sz="4" w:space="0" w:color="auto"/>
            </w:tcBorders>
            <w:shd w:val="clear" w:color="auto" w:fill="auto"/>
            <w:hideMark/>
          </w:tcPr>
          <w:p w14:paraId="383D8223"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Quality and timeliness of annual financial statements</w:t>
            </w:r>
          </w:p>
        </w:tc>
        <w:tc>
          <w:tcPr>
            <w:tcW w:w="346" w:type="pct"/>
            <w:tcBorders>
              <w:top w:val="nil"/>
              <w:left w:val="nil"/>
              <w:bottom w:val="single" w:sz="4" w:space="0" w:color="auto"/>
              <w:right w:val="single" w:sz="4" w:space="0" w:color="auto"/>
            </w:tcBorders>
            <w:shd w:val="clear" w:color="auto" w:fill="auto"/>
            <w:hideMark/>
          </w:tcPr>
          <w:p w14:paraId="2AB638B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2BAA2FE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3AFB801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5D6DB26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7F7C693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57A7FBE"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78382D4"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Completeness of the financial statements</w:t>
            </w:r>
          </w:p>
        </w:tc>
        <w:tc>
          <w:tcPr>
            <w:tcW w:w="346" w:type="pct"/>
            <w:tcBorders>
              <w:top w:val="nil"/>
              <w:left w:val="nil"/>
              <w:bottom w:val="single" w:sz="4" w:space="0" w:color="auto"/>
              <w:right w:val="single" w:sz="4" w:space="0" w:color="auto"/>
            </w:tcBorders>
            <w:shd w:val="clear" w:color="auto" w:fill="auto"/>
            <w:hideMark/>
          </w:tcPr>
          <w:p w14:paraId="7B3EBA9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3088CF7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0B8C642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23EABDB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3EB56AAB"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2DC95F4"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37195F8"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Timeliness of submission of the financial statements</w:t>
            </w:r>
          </w:p>
        </w:tc>
        <w:tc>
          <w:tcPr>
            <w:tcW w:w="346" w:type="pct"/>
            <w:tcBorders>
              <w:top w:val="nil"/>
              <w:left w:val="nil"/>
              <w:bottom w:val="single" w:sz="4" w:space="0" w:color="auto"/>
              <w:right w:val="single" w:sz="4" w:space="0" w:color="auto"/>
            </w:tcBorders>
            <w:shd w:val="clear" w:color="auto" w:fill="auto"/>
            <w:hideMark/>
          </w:tcPr>
          <w:p w14:paraId="77932D3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43BC82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6479E97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33FE52A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5149C59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50C9FD15"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FFEFC19"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 xml:space="preserve">(iii) Accounting standards used </w:t>
            </w:r>
          </w:p>
        </w:tc>
        <w:tc>
          <w:tcPr>
            <w:tcW w:w="346" w:type="pct"/>
            <w:tcBorders>
              <w:top w:val="nil"/>
              <w:left w:val="nil"/>
              <w:bottom w:val="single" w:sz="4" w:space="0" w:color="auto"/>
              <w:right w:val="single" w:sz="4" w:space="0" w:color="auto"/>
            </w:tcBorders>
            <w:shd w:val="clear" w:color="auto" w:fill="auto"/>
            <w:hideMark/>
          </w:tcPr>
          <w:p w14:paraId="241A336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1C320A7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46C79B1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7294CB5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401FCBE5" w14:textId="77777777" w:rsidTr="00887CA6">
        <w:trPr>
          <w:trHeight w:val="20"/>
        </w:trPr>
        <w:tc>
          <w:tcPr>
            <w:tcW w:w="273" w:type="pct"/>
            <w:tcBorders>
              <w:top w:val="nil"/>
              <w:left w:val="single" w:sz="4" w:space="0" w:color="auto"/>
              <w:bottom w:val="single" w:sz="4" w:space="0" w:color="auto"/>
              <w:right w:val="single" w:sz="4" w:space="0" w:color="auto"/>
            </w:tcBorders>
            <w:shd w:val="clear" w:color="000000" w:fill="C7E3C4" w:themeFill="accent4" w:themeFillTint="66"/>
            <w:hideMark/>
          </w:tcPr>
          <w:p w14:paraId="162DE46F"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000000" w:fill="C7E3C4" w:themeFill="accent4" w:themeFillTint="66"/>
            <w:hideMark/>
          </w:tcPr>
          <w:p w14:paraId="79A14119"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C(iv) External Scrutiny and Audit</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3A4B66ED"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79B85BE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C7E3C4" w:themeFill="accent4" w:themeFillTint="66"/>
            <w:hideMark/>
          </w:tcPr>
          <w:p w14:paraId="30AA838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569" w:type="pct"/>
            <w:gridSpan w:val="2"/>
            <w:tcBorders>
              <w:top w:val="nil"/>
              <w:left w:val="nil"/>
              <w:bottom w:val="single" w:sz="4" w:space="0" w:color="auto"/>
              <w:right w:val="single" w:sz="4" w:space="0" w:color="auto"/>
            </w:tcBorders>
            <w:shd w:val="clear" w:color="000000" w:fill="C7E3C4" w:themeFill="accent4" w:themeFillTint="66"/>
            <w:hideMark/>
          </w:tcPr>
          <w:p w14:paraId="1884F7B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r>
      <w:tr w:rsidR="00887CA6" w:rsidRPr="00887CA6" w14:paraId="394FF8F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EDDF4AC"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PI-26</w:t>
            </w:r>
          </w:p>
        </w:tc>
        <w:tc>
          <w:tcPr>
            <w:tcW w:w="3119" w:type="pct"/>
            <w:tcBorders>
              <w:top w:val="nil"/>
              <w:left w:val="nil"/>
              <w:bottom w:val="single" w:sz="4" w:space="0" w:color="auto"/>
              <w:right w:val="single" w:sz="4" w:space="0" w:color="auto"/>
            </w:tcBorders>
            <w:shd w:val="clear" w:color="auto" w:fill="auto"/>
            <w:hideMark/>
          </w:tcPr>
          <w:p w14:paraId="44003437"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Scope, nature and follow-up of external audit</w:t>
            </w:r>
          </w:p>
        </w:tc>
        <w:tc>
          <w:tcPr>
            <w:tcW w:w="346" w:type="pct"/>
            <w:tcBorders>
              <w:top w:val="nil"/>
              <w:left w:val="nil"/>
              <w:bottom w:val="single" w:sz="4" w:space="0" w:color="auto"/>
              <w:right w:val="single" w:sz="4" w:space="0" w:color="auto"/>
            </w:tcBorders>
            <w:shd w:val="clear" w:color="auto" w:fill="auto"/>
            <w:hideMark/>
          </w:tcPr>
          <w:p w14:paraId="56DFF1A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68458A8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4EE10DA0"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2AD49B2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1C1C7BA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C0EC324"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6D612ABF"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Scope/nature of audit performed (incl. adherence to auditing standards).</w:t>
            </w:r>
          </w:p>
        </w:tc>
        <w:tc>
          <w:tcPr>
            <w:tcW w:w="346" w:type="pct"/>
            <w:tcBorders>
              <w:top w:val="nil"/>
              <w:left w:val="nil"/>
              <w:bottom w:val="single" w:sz="4" w:space="0" w:color="auto"/>
              <w:right w:val="single" w:sz="4" w:space="0" w:color="auto"/>
            </w:tcBorders>
            <w:shd w:val="clear" w:color="auto" w:fill="auto"/>
            <w:hideMark/>
          </w:tcPr>
          <w:p w14:paraId="43B1C61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16093EF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7BC2598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69F2A12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0C3F8CAA" w14:textId="77777777" w:rsidTr="00887CA6">
        <w:trPr>
          <w:trHeight w:val="216"/>
        </w:trPr>
        <w:tc>
          <w:tcPr>
            <w:tcW w:w="273" w:type="pct"/>
            <w:tcBorders>
              <w:top w:val="nil"/>
              <w:left w:val="single" w:sz="4" w:space="0" w:color="auto"/>
              <w:bottom w:val="single" w:sz="4" w:space="0" w:color="auto"/>
              <w:right w:val="single" w:sz="4" w:space="0" w:color="auto"/>
            </w:tcBorders>
            <w:shd w:val="clear" w:color="auto" w:fill="auto"/>
            <w:hideMark/>
          </w:tcPr>
          <w:p w14:paraId="0BBFA702"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5276B132"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Timeliness of submission of audit reports to legislature.</w:t>
            </w:r>
          </w:p>
        </w:tc>
        <w:tc>
          <w:tcPr>
            <w:tcW w:w="346" w:type="pct"/>
            <w:tcBorders>
              <w:top w:val="nil"/>
              <w:left w:val="nil"/>
              <w:bottom w:val="single" w:sz="4" w:space="0" w:color="auto"/>
              <w:right w:val="single" w:sz="4" w:space="0" w:color="auto"/>
            </w:tcBorders>
            <w:shd w:val="clear" w:color="auto" w:fill="auto"/>
            <w:hideMark/>
          </w:tcPr>
          <w:p w14:paraId="2E78B13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73373F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3BF443D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24DB4DA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62A21614"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D040CAD"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1F674E86"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 xml:space="preserve">(iii) Evidence of follow up on audit recommendations.  </w:t>
            </w:r>
          </w:p>
        </w:tc>
        <w:tc>
          <w:tcPr>
            <w:tcW w:w="346" w:type="pct"/>
            <w:tcBorders>
              <w:top w:val="nil"/>
              <w:left w:val="nil"/>
              <w:bottom w:val="single" w:sz="4" w:space="0" w:color="auto"/>
              <w:right w:val="single" w:sz="4" w:space="0" w:color="auto"/>
            </w:tcBorders>
            <w:shd w:val="clear" w:color="auto" w:fill="auto"/>
            <w:hideMark/>
          </w:tcPr>
          <w:p w14:paraId="593C1FF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72A2B31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6BDAFA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1608975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5BB9DB4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F35EFAD"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PI-27</w:t>
            </w:r>
          </w:p>
        </w:tc>
        <w:tc>
          <w:tcPr>
            <w:tcW w:w="3119" w:type="pct"/>
            <w:tcBorders>
              <w:top w:val="nil"/>
              <w:left w:val="nil"/>
              <w:bottom w:val="single" w:sz="4" w:space="0" w:color="auto"/>
              <w:right w:val="single" w:sz="4" w:space="0" w:color="auto"/>
            </w:tcBorders>
            <w:shd w:val="clear" w:color="auto" w:fill="auto"/>
            <w:hideMark/>
          </w:tcPr>
          <w:p w14:paraId="5338CE10"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Legislative scrutiny of the annual budget law</w:t>
            </w:r>
          </w:p>
        </w:tc>
        <w:tc>
          <w:tcPr>
            <w:tcW w:w="346" w:type="pct"/>
            <w:tcBorders>
              <w:top w:val="nil"/>
              <w:left w:val="nil"/>
              <w:bottom w:val="single" w:sz="4" w:space="0" w:color="auto"/>
              <w:right w:val="single" w:sz="4" w:space="0" w:color="auto"/>
            </w:tcBorders>
            <w:shd w:val="clear" w:color="auto" w:fill="auto"/>
            <w:hideMark/>
          </w:tcPr>
          <w:p w14:paraId="45460C5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2B55096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78558D8D"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052446B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r>
      <w:tr w:rsidR="00887CA6" w:rsidRPr="00887CA6" w14:paraId="71A8862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41E3C37"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16F8C268"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 xml:space="preserve">(i) Scope of the legislature’s scrutiny. </w:t>
            </w:r>
          </w:p>
        </w:tc>
        <w:tc>
          <w:tcPr>
            <w:tcW w:w="346" w:type="pct"/>
            <w:tcBorders>
              <w:top w:val="nil"/>
              <w:left w:val="nil"/>
              <w:bottom w:val="single" w:sz="4" w:space="0" w:color="auto"/>
              <w:right w:val="single" w:sz="4" w:space="0" w:color="auto"/>
            </w:tcBorders>
            <w:shd w:val="clear" w:color="auto" w:fill="auto"/>
            <w:hideMark/>
          </w:tcPr>
          <w:p w14:paraId="6046BAA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1472FB8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1A28044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0C38949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5EC0CD4F"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92F22DD"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50596801"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Extent to which the legislature’s procedures are well-established and respected.</w:t>
            </w:r>
          </w:p>
        </w:tc>
        <w:tc>
          <w:tcPr>
            <w:tcW w:w="346" w:type="pct"/>
            <w:tcBorders>
              <w:top w:val="nil"/>
              <w:left w:val="nil"/>
              <w:bottom w:val="single" w:sz="4" w:space="0" w:color="auto"/>
              <w:right w:val="single" w:sz="4" w:space="0" w:color="auto"/>
            </w:tcBorders>
            <w:shd w:val="clear" w:color="auto" w:fill="auto"/>
            <w:hideMark/>
          </w:tcPr>
          <w:p w14:paraId="10F7C189"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0BC8701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2380516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0CC0E29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DC3D9A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5913A79"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F7D0794"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 xml:space="preserve">(iii) Adequacy of time for the legislature to provide a response to budget proposals </w:t>
            </w:r>
            <w:r w:rsidRPr="004961D6">
              <w:rPr>
                <w:rFonts w:ascii="Calibri" w:eastAsia="Times New Roman" w:hAnsi="Calibri"/>
                <w:color w:val="DD0806"/>
                <w:sz w:val="18"/>
                <w:szCs w:val="18"/>
              </w:rPr>
              <w:t>.</w:t>
            </w:r>
          </w:p>
        </w:tc>
        <w:tc>
          <w:tcPr>
            <w:tcW w:w="346" w:type="pct"/>
            <w:tcBorders>
              <w:top w:val="nil"/>
              <w:left w:val="nil"/>
              <w:bottom w:val="single" w:sz="4" w:space="0" w:color="auto"/>
              <w:right w:val="single" w:sz="4" w:space="0" w:color="auto"/>
            </w:tcBorders>
            <w:shd w:val="clear" w:color="auto" w:fill="auto"/>
            <w:hideMark/>
          </w:tcPr>
          <w:p w14:paraId="0A98878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1893A92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73CBDFC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6F53D29E"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04B21EA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5D80D46C"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2621278"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(iv) Rules for in-year amendments to the budget without ex-ante approval by the legislature</w:t>
            </w:r>
            <w:r w:rsidRPr="004961D6">
              <w:rPr>
                <w:rFonts w:ascii="Calibri" w:eastAsia="Times New Roman" w:hAnsi="Calibri"/>
                <w:color w:val="DD0806"/>
                <w:sz w:val="18"/>
                <w:szCs w:val="18"/>
              </w:rPr>
              <w:t>.</w:t>
            </w:r>
          </w:p>
        </w:tc>
        <w:tc>
          <w:tcPr>
            <w:tcW w:w="346" w:type="pct"/>
            <w:tcBorders>
              <w:top w:val="nil"/>
              <w:left w:val="nil"/>
              <w:bottom w:val="single" w:sz="4" w:space="0" w:color="auto"/>
              <w:right w:val="single" w:sz="4" w:space="0" w:color="auto"/>
            </w:tcBorders>
            <w:shd w:val="clear" w:color="auto" w:fill="auto"/>
            <w:hideMark/>
          </w:tcPr>
          <w:p w14:paraId="776B5A4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6C729FEB"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046DE3A6"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06C312B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5118C2FA"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04D8451"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PI-28</w:t>
            </w:r>
          </w:p>
        </w:tc>
        <w:tc>
          <w:tcPr>
            <w:tcW w:w="3119" w:type="pct"/>
            <w:tcBorders>
              <w:top w:val="nil"/>
              <w:left w:val="nil"/>
              <w:bottom w:val="single" w:sz="4" w:space="0" w:color="auto"/>
              <w:right w:val="single" w:sz="4" w:space="0" w:color="auto"/>
            </w:tcBorders>
            <w:shd w:val="clear" w:color="auto" w:fill="auto"/>
            <w:hideMark/>
          </w:tcPr>
          <w:p w14:paraId="78D9E6FF"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Legislative scrutiny of external audit reports</w:t>
            </w:r>
          </w:p>
        </w:tc>
        <w:tc>
          <w:tcPr>
            <w:tcW w:w="346" w:type="pct"/>
            <w:tcBorders>
              <w:top w:val="nil"/>
              <w:left w:val="nil"/>
              <w:bottom w:val="single" w:sz="4" w:space="0" w:color="auto"/>
              <w:right w:val="single" w:sz="4" w:space="0" w:color="auto"/>
            </w:tcBorders>
            <w:shd w:val="clear" w:color="auto" w:fill="auto"/>
            <w:hideMark/>
          </w:tcPr>
          <w:p w14:paraId="5A7FC117"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721F8451"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346" w:type="pct"/>
            <w:tcBorders>
              <w:top w:val="nil"/>
              <w:left w:val="nil"/>
              <w:bottom w:val="single" w:sz="4" w:space="0" w:color="auto"/>
              <w:right w:val="single" w:sz="4" w:space="0" w:color="auto"/>
            </w:tcBorders>
            <w:shd w:val="clear" w:color="auto" w:fill="auto"/>
            <w:hideMark/>
          </w:tcPr>
          <w:p w14:paraId="3E24060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0707CB8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r>
      <w:tr w:rsidR="00887CA6" w:rsidRPr="00887CA6" w14:paraId="1EABC292"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DFCDA18"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2847AC6D"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Timeliness of examination of audit reports by the legislature (for reports received within the last three years).</w:t>
            </w:r>
          </w:p>
        </w:tc>
        <w:tc>
          <w:tcPr>
            <w:tcW w:w="346" w:type="pct"/>
            <w:tcBorders>
              <w:top w:val="nil"/>
              <w:left w:val="nil"/>
              <w:bottom w:val="single" w:sz="4" w:space="0" w:color="auto"/>
              <w:right w:val="single" w:sz="4" w:space="0" w:color="auto"/>
            </w:tcBorders>
            <w:shd w:val="clear" w:color="auto" w:fill="auto"/>
            <w:hideMark/>
          </w:tcPr>
          <w:p w14:paraId="60AEA60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2724C2A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484D0FA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4F5F863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3A50CB70"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3E541A6E"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B86BB10"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Extent of hearings on key findings undertaken by the legislature.</w:t>
            </w:r>
          </w:p>
        </w:tc>
        <w:tc>
          <w:tcPr>
            <w:tcW w:w="346" w:type="pct"/>
            <w:tcBorders>
              <w:top w:val="nil"/>
              <w:left w:val="nil"/>
              <w:bottom w:val="single" w:sz="4" w:space="0" w:color="auto"/>
              <w:right w:val="single" w:sz="4" w:space="0" w:color="auto"/>
            </w:tcBorders>
            <w:shd w:val="clear" w:color="auto" w:fill="auto"/>
            <w:hideMark/>
          </w:tcPr>
          <w:p w14:paraId="3AC32B2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6C5A746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346" w:type="pct"/>
            <w:tcBorders>
              <w:top w:val="nil"/>
              <w:left w:val="nil"/>
              <w:bottom w:val="single" w:sz="4" w:space="0" w:color="auto"/>
              <w:right w:val="single" w:sz="4" w:space="0" w:color="auto"/>
            </w:tcBorders>
            <w:shd w:val="clear" w:color="auto" w:fill="auto"/>
            <w:hideMark/>
          </w:tcPr>
          <w:p w14:paraId="6531082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C</w:t>
            </w:r>
          </w:p>
        </w:tc>
        <w:tc>
          <w:tcPr>
            <w:tcW w:w="569" w:type="pct"/>
            <w:gridSpan w:val="2"/>
            <w:tcBorders>
              <w:top w:val="nil"/>
              <w:left w:val="nil"/>
              <w:bottom w:val="single" w:sz="4" w:space="0" w:color="auto"/>
              <w:right w:val="single" w:sz="4" w:space="0" w:color="auto"/>
            </w:tcBorders>
            <w:shd w:val="clear" w:color="auto" w:fill="auto"/>
            <w:hideMark/>
          </w:tcPr>
          <w:p w14:paraId="2511E37C"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6566A42B"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89954CA"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D569FB3"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(iii) Issuance of recommended actions by the legislature and implementation by the executive.</w:t>
            </w:r>
          </w:p>
        </w:tc>
        <w:tc>
          <w:tcPr>
            <w:tcW w:w="346" w:type="pct"/>
            <w:tcBorders>
              <w:top w:val="nil"/>
              <w:left w:val="nil"/>
              <w:bottom w:val="single" w:sz="4" w:space="0" w:color="auto"/>
              <w:right w:val="single" w:sz="4" w:space="0" w:color="auto"/>
            </w:tcBorders>
            <w:shd w:val="clear" w:color="auto" w:fill="auto"/>
            <w:hideMark/>
          </w:tcPr>
          <w:p w14:paraId="3F39797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1AF558C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515B3A2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33D3F4E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r>
      <w:tr w:rsidR="00887CA6" w:rsidRPr="00887CA6" w14:paraId="7A3C410B" w14:textId="77777777" w:rsidTr="00887CA6">
        <w:trPr>
          <w:trHeight w:val="20"/>
        </w:trPr>
        <w:tc>
          <w:tcPr>
            <w:tcW w:w="273" w:type="pct"/>
            <w:tcBorders>
              <w:top w:val="nil"/>
              <w:left w:val="single" w:sz="4" w:space="0" w:color="auto"/>
              <w:bottom w:val="single" w:sz="4" w:space="0" w:color="auto"/>
              <w:right w:val="single" w:sz="4" w:space="0" w:color="auto"/>
            </w:tcBorders>
            <w:shd w:val="clear" w:color="000000" w:fill="ACD6A7" w:themeFill="accent4" w:themeFillTint="99"/>
            <w:hideMark/>
          </w:tcPr>
          <w:p w14:paraId="2DB5018E" w14:textId="77777777" w:rsidR="00887CA6" w:rsidRPr="004961D6" w:rsidRDefault="00887CA6" w:rsidP="00887CA6">
            <w:pPr>
              <w:jc w:val="both"/>
              <w:rPr>
                <w:rFonts w:ascii="Calibri" w:eastAsia="Times New Roman" w:hAnsi="Calibri"/>
                <w:b/>
                <w:bCs/>
                <w:i/>
                <w:iCs/>
                <w:sz w:val="18"/>
                <w:szCs w:val="18"/>
              </w:rPr>
            </w:pPr>
            <w:r w:rsidRPr="004961D6">
              <w:rPr>
                <w:rFonts w:ascii="Calibri" w:eastAsia="Times New Roman" w:hAnsi="Calibri"/>
                <w:b/>
                <w:bCs/>
                <w:i/>
                <w:iCs/>
                <w:sz w:val="18"/>
                <w:szCs w:val="18"/>
              </w:rPr>
              <w:t> </w:t>
            </w:r>
          </w:p>
        </w:tc>
        <w:tc>
          <w:tcPr>
            <w:tcW w:w="3119" w:type="pct"/>
            <w:tcBorders>
              <w:top w:val="nil"/>
              <w:left w:val="nil"/>
              <w:bottom w:val="single" w:sz="4" w:space="0" w:color="auto"/>
              <w:right w:val="single" w:sz="4" w:space="0" w:color="auto"/>
            </w:tcBorders>
            <w:shd w:val="clear" w:color="000000" w:fill="ACD6A7" w:themeFill="accent4" w:themeFillTint="99"/>
            <w:hideMark/>
          </w:tcPr>
          <w:p w14:paraId="140968B3"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D. DONOR PRACTICES</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480252C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1C2E552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346" w:type="pct"/>
            <w:tcBorders>
              <w:top w:val="nil"/>
              <w:left w:val="nil"/>
              <w:bottom w:val="single" w:sz="4" w:space="0" w:color="auto"/>
              <w:right w:val="single" w:sz="4" w:space="0" w:color="auto"/>
            </w:tcBorders>
            <w:shd w:val="clear" w:color="000000" w:fill="ACD6A7" w:themeFill="accent4" w:themeFillTint="99"/>
            <w:hideMark/>
          </w:tcPr>
          <w:p w14:paraId="388600ED"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c>
          <w:tcPr>
            <w:tcW w:w="569" w:type="pct"/>
            <w:gridSpan w:val="2"/>
            <w:tcBorders>
              <w:top w:val="nil"/>
              <w:left w:val="nil"/>
              <w:bottom w:val="single" w:sz="4" w:space="0" w:color="auto"/>
              <w:right w:val="single" w:sz="4" w:space="0" w:color="auto"/>
            </w:tcBorders>
            <w:shd w:val="clear" w:color="000000" w:fill="ACD6A7" w:themeFill="accent4" w:themeFillTint="99"/>
            <w:hideMark/>
          </w:tcPr>
          <w:p w14:paraId="07DE67A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 </w:t>
            </w:r>
          </w:p>
        </w:tc>
      </w:tr>
      <w:tr w:rsidR="00887CA6" w:rsidRPr="00887CA6" w14:paraId="66CD0439"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74984418"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D-1</w:t>
            </w:r>
          </w:p>
        </w:tc>
        <w:tc>
          <w:tcPr>
            <w:tcW w:w="3119" w:type="pct"/>
            <w:tcBorders>
              <w:top w:val="nil"/>
              <w:left w:val="nil"/>
              <w:bottom w:val="single" w:sz="4" w:space="0" w:color="auto"/>
              <w:right w:val="single" w:sz="4" w:space="0" w:color="auto"/>
            </w:tcBorders>
            <w:shd w:val="clear" w:color="auto" w:fill="auto"/>
            <w:hideMark/>
          </w:tcPr>
          <w:p w14:paraId="10794BBA"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Predictability of Direct Budget Support</w:t>
            </w:r>
          </w:p>
        </w:tc>
        <w:tc>
          <w:tcPr>
            <w:tcW w:w="346" w:type="pct"/>
            <w:tcBorders>
              <w:top w:val="nil"/>
              <w:left w:val="nil"/>
              <w:bottom w:val="single" w:sz="4" w:space="0" w:color="auto"/>
              <w:right w:val="single" w:sz="4" w:space="0" w:color="auto"/>
            </w:tcBorders>
            <w:shd w:val="clear" w:color="auto" w:fill="auto"/>
            <w:hideMark/>
          </w:tcPr>
          <w:p w14:paraId="185ACD8E"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6E8C6FCA"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346" w:type="pct"/>
            <w:tcBorders>
              <w:top w:val="nil"/>
              <w:left w:val="nil"/>
              <w:bottom w:val="single" w:sz="4" w:space="0" w:color="auto"/>
              <w:right w:val="single" w:sz="4" w:space="0" w:color="auto"/>
            </w:tcBorders>
            <w:shd w:val="clear" w:color="auto" w:fill="auto"/>
            <w:hideMark/>
          </w:tcPr>
          <w:p w14:paraId="1CA982DC"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2E0DE9BF"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3DDB09B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6227F59E"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3206925B"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Annual deviation of actual budget support from the forecast provided by the donor agencies at least six weeks prior to the government submitting its budget proposals to the legislature (or equivalent approving body).</w:t>
            </w:r>
          </w:p>
        </w:tc>
        <w:tc>
          <w:tcPr>
            <w:tcW w:w="346" w:type="pct"/>
            <w:tcBorders>
              <w:top w:val="nil"/>
              <w:left w:val="nil"/>
              <w:bottom w:val="single" w:sz="4" w:space="0" w:color="auto"/>
              <w:right w:val="single" w:sz="4" w:space="0" w:color="auto"/>
            </w:tcBorders>
            <w:shd w:val="clear" w:color="auto" w:fill="auto"/>
            <w:hideMark/>
          </w:tcPr>
          <w:p w14:paraId="41296C6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6D2F650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346" w:type="pct"/>
            <w:tcBorders>
              <w:top w:val="nil"/>
              <w:left w:val="nil"/>
              <w:bottom w:val="single" w:sz="4" w:space="0" w:color="auto"/>
              <w:right w:val="single" w:sz="4" w:space="0" w:color="auto"/>
            </w:tcBorders>
            <w:shd w:val="clear" w:color="auto" w:fill="auto"/>
            <w:hideMark/>
          </w:tcPr>
          <w:p w14:paraId="4E42D82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B</w:t>
            </w:r>
          </w:p>
        </w:tc>
        <w:tc>
          <w:tcPr>
            <w:tcW w:w="569" w:type="pct"/>
            <w:gridSpan w:val="2"/>
            <w:tcBorders>
              <w:top w:val="nil"/>
              <w:left w:val="nil"/>
              <w:bottom w:val="single" w:sz="4" w:space="0" w:color="auto"/>
              <w:right w:val="single" w:sz="4" w:space="0" w:color="auto"/>
            </w:tcBorders>
            <w:shd w:val="clear" w:color="auto" w:fill="auto"/>
            <w:hideMark/>
          </w:tcPr>
          <w:p w14:paraId="756BA66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7E6BC89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1710A519"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749A6DF8"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In-year timeliness of donor disbursements (compliance with aggregate quarterly estimates)</w:t>
            </w:r>
          </w:p>
        </w:tc>
        <w:tc>
          <w:tcPr>
            <w:tcW w:w="346" w:type="pct"/>
            <w:tcBorders>
              <w:top w:val="nil"/>
              <w:left w:val="nil"/>
              <w:bottom w:val="single" w:sz="4" w:space="0" w:color="auto"/>
              <w:right w:val="single" w:sz="4" w:space="0" w:color="auto"/>
            </w:tcBorders>
            <w:shd w:val="clear" w:color="auto" w:fill="auto"/>
            <w:hideMark/>
          </w:tcPr>
          <w:p w14:paraId="6379C4A5"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5179CA07"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346" w:type="pct"/>
            <w:tcBorders>
              <w:top w:val="nil"/>
              <w:left w:val="nil"/>
              <w:bottom w:val="single" w:sz="4" w:space="0" w:color="auto"/>
              <w:right w:val="single" w:sz="4" w:space="0" w:color="auto"/>
            </w:tcBorders>
            <w:shd w:val="clear" w:color="auto" w:fill="auto"/>
            <w:hideMark/>
          </w:tcPr>
          <w:p w14:paraId="4848517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196979A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5763C508"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07FB1E0D"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D-2</w:t>
            </w:r>
          </w:p>
        </w:tc>
        <w:tc>
          <w:tcPr>
            <w:tcW w:w="3119" w:type="pct"/>
            <w:tcBorders>
              <w:top w:val="nil"/>
              <w:left w:val="nil"/>
              <w:bottom w:val="single" w:sz="4" w:space="0" w:color="auto"/>
              <w:right w:val="single" w:sz="4" w:space="0" w:color="auto"/>
            </w:tcBorders>
            <w:shd w:val="clear" w:color="auto" w:fill="auto"/>
            <w:hideMark/>
          </w:tcPr>
          <w:p w14:paraId="47BCA06E" w14:textId="77777777" w:rsidR="00887CA6" w:rsidRPr="004961D6" w:rsidRDefault="00887CA6" w:rsidP="00887CA6">
            <w:pPr>
              <w:rPr>
                <w:rFonts w:ascii="Calibri" w:eastAsia="Times New Roman" w:hAnsi="Calibri"/>
                <w:b/>
                <w:bCs/>
                <w:sz w:val="18"/>
                <w:szCs w:val="18"/>
              </w:rPr>
            </w:pPr>
            <w:r w:rsidRPr="004961D6">
              <w:rPr>
                <w:rFonts w:ascii="Calibri" w:eastAsia="Times New Roman" w:hAnsi="Calibri"/>
                <w:b/>
                <w:bCs/>
                <w:sz w:val="18"/>
                <w:szCs w:val="18"/>
              </w:rPr>
              <w:t>Financial information provided by donors for budgeting and reporting on project and program aid</w:t>
            </w:r>
          </w:p>
        </w:tc>
        <w:tc>
          <w:tcPr>
            <w:tcW w:w="346" w:type="pct"/>
            <w:tcBorders>
              <w:top w:val="nil"/>
              <w:left w:val="nil"/>
              <w:bottom w:val="single" w:sz="4" w:space="0" w:color="auto"/>
              <w:right w:val="single" w:sz="4" w:space="0" w:color="auto"/>
            </w:tcBorders>
            <w:shd w:val="clear" w:color="auto" w:fill="auto"/>
            <w:hideMark/>
          </w:tcPr>
          <w:p w14:paraId="2A636F48"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43B0F665"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76E96757"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732E6EF6"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179E4B7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98AB2E0"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48FD1597"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Completeness and timeliness of budget estimates by donors for project support.</w:t>
            </w:r>
          </w:p>
        </w:tc>
        <w:tc>
          <w:tcPr>
            <w:tcW w:w="346" w:type="pct"/>
            <w:tcBorders>
              <w:top w:val="nil"/>
              <w:left w:val="nil"/>
              <w:bottom w:val="single" w:sz="4" w:space="0" w:color="auto"/>
              <w:right w:val="single" w:sz="4" w:space="0" w:color="auto"/>
            </w:tcBorders>
            <w:shd w:val="clear" w:color="auto" w:fill="auto"/>
            <w:hideMark/>
          </w:tcPr>
          <w:p w14:paraId="3032100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0B9CE184"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1C842EB1"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c>
          <w:tcPr>
            <w:tcW w:w="569" w:type="pct"/>
            <w:gridSpan w:val="2"/>
            <w:tcBorders>
              <w:top w:val="nil"/>
              <w:left w:val="nil"/>
              <w:bottom w:val="single" w:sz="4" w:space="0" w:color="auto"/>
              <w:right w:val="single" w:sz="4" w:space="0" w:color="auto"/>
            </w:tcBorders>
            <w:shd w:val="clear" w:color="auto" w:fill="auto"/>
            <w:hideMark/>
          </w:tcPr>
          <w:p w14:paraId="15FFF673"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23CB5C96"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2EC18B64"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520D4488"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(ii) Frequency and coverage of reporting by donors on actual donor flows for project support.</w:t>
            </w:r>
          </w:p>
        </w:tc>
        <w:tc>
          <w:tcPr>
            <w:tcW w:w="346" w:type="pct"/>
            <w:tcBorders>
              <w:top w:val="nil"/>
              <w:left w:val="nil"/>
              <w:bottom w:val="single" w:sz="4" w:space="0" w:color="auto"/>
              <w:right w:val="single" w:sz="4" w:space="0" w:color="auto"/>
            </w:tcBorders>
            <w:shd w:val="clear" w:color="auto" w:fill="auto"/>
            <w:hideMark/>
          </w:tcPr>
          <w:p w14:paraId="620B0100"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5B3256E8"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353CF06D"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7DE05FE2"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r w:rsidR="00887CA6" w:rsidRPr="00887CA6" w14:paraId="38CAACCD"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4BABA728"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D-3</w:t>
            </w:r>
          </w:p>
        </w:tc>
        <w:tc>
          <w:tcPr>
            <w:tcW w:w="3119" w:type="pct"/>
            <w:tcBorders>
              <w:top w:val="nil"/>
              <w:left w:val="nil"/>
              <w:bottom w:val="single" w:sz="4" w:space="0" w:color="auto"/>
              <w:right w:val="single" w:sz="4" w:space="0" w:color="auto"/>
            </w:tcBorders>
            <w:shd w:val="clear" w:color="auto" w:fill="auto"/>
            <w:hideMark/>
          </w:tcPr>
          <w:p w14:paraId="13387A02" w14:textId="77777777" w:rsidR="00887CA6" w:rsidRPr="004961D6" w:rsidRDefault="00887CA6" w:rsidP="00887CA6">
            <w:pPr>
              <w:jc w:val="both"/>
              <w:rPr>
                <w:rFonts w:ascii="Calibri" w:eastAsia="Times New Roman" w:hAnsi="Calibri"/>
                <w:b/>
                <w:bCs/>
                <w:sz w:val="18"/>
                <w:szCs w:val="18"/>
              </w:rPr>
            </w:pPr>
            <w:r w:rsidRPr="004961D6">
              <w:rPr>
                <w:rFonts w:ascii="Calibri" w:eastAsia="Times New Roman" w:hAnsi="Calibri"/>
                <w:b/>
                <w:bCs/>
                <w:sz w:val="18"/>
                <w:szCs w:val="18"/>
              </w:rPr>
              <w:t>Proportion of aid that is managed by use of national procedures</w:t>
            </w:r>
          </w:p>
        </w:tc>
        <w:tc>
          <w:tcPr>
            <w:tcW w:w="346" w:type="pct"/>
            <w:tcBorders>
              <w:top w:val="nil"/>
              <w:left w:val="nil"/>
              <w:bottom w:val="single" w:sz="4" w:space="0" w:color="auto"/>
              <w:right w:val="single" w:sz="4" w:space="0" w:color="auto"/>
            </w:tcBorders>
            <w:shd w:val="clear" w:color="auto" w:fill="auto"/>
            <w:hideMark/>
          </w:tcPr>
          <w:p w14:paraId="78AD5559"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2CB0212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346" w:type="pct"/>
            <w:tcBorders>
              <w:top w:val="nil"/>
              <w:left w:val="nil"/>
              <w:bottom w:val="single" w:sz="4" w:space="0" w:color="auto"/>
              <w:right w:val="single" w:sz="4" w:space="0" w:color="auto"/>
            </w:tcBorders>
            <w:shd w:val="clear" w:color="auto" w:fill="auto"/>
            <w:hideMark/>
          </w:tcPr>
          <w:p w14:paraId="7BF3DB1B"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55299F22" w14:textId="77777777" w:rsidR="00887CA6" w:rsidRPr="004961D6" w:rsidRDefault="00887CA6" w:rsidP="00887CA6">
            <w:pPr>
              <w:jc w:val="center"/>
              <w:rPr>
                <w:rFonts w:ascii="Calibri" w:eastAsia="Times New Roman" w:hAnsi="Calibri"/>
                <w:b/>
                <w:bCs/>
                <w:sz w:val="18"/>
                <w:szCs w:val="18"/>
              </w:rPr>
            </w:pPr>
            <w:r w:rsidRPr="004961D6">
              <w:rPr>
                <w:rFonts w:ascii="Calibri" w:eastAsia="Times New Roman" w:hAnsi="Calibri"/>
                <w:b/>
                <w:bCs/>
                <w:sz w:val="18"/>
                <w:szCs w:val="18"/>
              </w:rPr>
              <w:t>A</w:t>
            </w:r>
          </w:p>
        </w:tc>
      </w:tr>
      <w:tr w:rsidR="00887CA6" w:rsidRPr="00887CA6" w14:paraId="2E94DA35" w14:textId="77777777" w:rsidTr="00887CA6">
        <w:trPr>
          <w:trHeight w:val="20"/>
        </w:trPr>
        <w:tc>
          <w:tcPr>
            <w:tcW w:w="273" w:type="pct"/>
            <w:tcBorders>
              <w:top w:val="nil"/>
              <w:left w:val="single" w:sz="4" w:space="0" w:color="auto"/>
              <w:bottom w:val="single" w:sz="4" w:space="0" w:color="auto"/>
              <w:right w:val="single" w:sz="4" w:space="0" w:color="auto"/>
            </w:tcBorders>
            <w:shd w:val="clear" w:color="auto" w:fill="auto"/>
            <w:hideMark/>
          </w:tcPr>
          <w:p w14:paraId="5253F8F5" w14:textId="77777777" w:rsidR="00887CA6" w:rsidRPr="004961D6" w:rsidRDefault="00887CA6" w:rsidP="00887CA6">
            <w:pPr>
              <w:jc w:val="both"/>
              <w:outlineLvl w:val="0"/>
              <w:rPr>
                <w:rFonts w:ascii="Calibri" w:eastAsia="Times New Roman" w:hAnsi="Calibri"/>
                <w:b/>
                <w:bCs/>
                <w:sz w:val="18"/>
                <w:szCs w:val="18"/>
              </w:rPr>
            </w:pPr>
            <w:r w:rsidRPr="004961D6">
              <w:rPr>
                <w:rFonts w:ascii="Calibri" w:eastAsia="Times New Roman" w:hAnsi="Calibri"/>
                <w:b/>
                <w:bCs/>
                <w:sz w:val="18"/>
                <w:szCs w:val="18"/>
              </w:rPr>
              <w:t> </w:t>
            </w:r>
          </w:p>
        </w:tc>
        <w:tc>
          <w:tcPr>
            <w:tcW w:w="3119" w:type="pct"/>
            <w:tcBorders>
              <w:top w:val="nil"/>
              <w:left w:val="nil"/>
              <w:bottom w:val="single" w:sz="4" w:space="0" w:color="auto"/>
              <w:right w:val="single" w:sz="4" w:space="0" w:color="auto"/>
            </w:tcBorders>
            <w:shd w:val="clear" w:color="auto" w:fill="auto"/>
            <w:hideMark/>
          </w:tcPr>
          <w:p w14:paraId="7A82A997" w14:textId="77777777" w:rsidR="00887CA6" w:rsidRPr="004961D6" w:rsidRDefault="00887CA6" w:rsidP="00887CA6">
            <w:pPr>
              <w:ind w:firstLineChars="100" w:firstLine="180"/>
              <w:outlineLvl w:val="0"/>
              <w:rPr>
                <w:rFonts w:ascii="Calibri" w:eastAsia="Times New Roman" w:hAnsi="Calibri"/>
                <w:sz w:val="18"/>
                <w:szCs w:val="18"/>
              </w:rPr>
            </w:pPr>
            <w:r w:rsidRPr="004961D6">
              <w:rPr>
                <w:rFonts w:ascii="Calibri" w:eastAsia="Times New Roman" w:hAnsi="Calibri"/>
                <w:sz w:val="18"/>
                <w:szCs w:val="18"/>
              </w:rPr>
              <w:t>(i) Overall proportion of aid funds to central government that are managed through national procedures (procurement, payment/ accounting, audit and reporting)</w:t>
            </w:r>
          </w:p>
        </w:tc>
        <w:tc>
          <w:tcPr>
            <w:tcW w:w="346" w:type="pct"/>
            <w:tcBorders>
              <w:top w:val="nil"/>
              <w:left w:val="nil"/>
              <w:bottom w:val="single" w:sz="4" w:space="0" w:color="auto"/>
              <w:right w:val="single" w:sz="4" w:space="0" w:color="auto"/>
            </w:tcBorders>
            <w:shd w:val="clear" w:color="auto" w:fill="auto"/>
            <w:hideMark/>
          </w:tcPr>
          <w:p w14:paraId="01B0F6D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7CFAB95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346" w:type="pct"/>
            <w:tcBorders>
              <w:top w:val="nil"/>
              <w:left w:val="nil"/>
              <w:bottom w:val="single" w:sz="4" w:space="0" w:color="auto"/>
              <w:right w:val="single" w:sz="4" w:space="0" w:color="auto"/>
            </w:tcBorders>
            <w:shd w:val="clear" w:color="auto" w:fill="auto"/>
            <w:hideMark/>
          </w:tcPr>
          <w:p w14:paraId="39A669DA"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D</w:t>
            </w:r>
          </w:p>
        </w:tc>
        <w:tc>
          <w:tcPr>
            <w:tcW w:w="569" w:type="pct"/>
            <w:gridSpan w:val="2"/>
            <w:tcBorders>
              <w:top w:val="nil"/>
              <w:left w:val="nil"/>
              <w:bottom w:val="single" w:sz="4" w:space="0" w:color="auto"/>
              <w:right w:val="single" w:sz="4" w:space="0" w:color="auto"/>
            </w:tcBorders>
            <w:shd w:val="clear" w:color="auto" w:fill="auto"/>
            <w:hideMark/>
          </w:tcPr>
          <w:p w14:paraId="40378FCF" w14:textId="77777777" w:rsidR="00887CA6" w:rsidRPr="004961D6" w:rsidRDefault="00887CA6" w:rsidP="00887CA6">
            <w:pPr>
              <w:jc w:val="center"/>
              <w:outlineLvl w:val="0"/>
              <w:rPr>
                <w:rFonts w:ascii="Calibri" w:eastAsia="Times New Roman" w:hAnsi="Calibri"/>
                <w:sz w:val="18"/>
                <w:szCs w:val="18"/>
              </w:rPr>
            </w:pPr>
            <w:r w:rsidRPr="004961D6">
              <w:rPr>
                <w:rFonts w:ascii="Calibri" w:eastAsia="Times New Roman" w:hAnsi="Calibri"/>
                <w:sz w:val="18"/>
                <w:szCs w:val="18"/>
              </w:rPr>
              <w:t>A</w:t>
            </w:r>
          </w:p>
        </w:tc>
      </w:tr>
    </w:tbl>
    <w:p w14:paraId="1F83ED36" w14:textId="77777777" w:rsidR="00751BA3" w:rsidRDefault="00751BA3">
      <w:pPr>
        <w:rPr>
          <w:lang w:val="en-GB"/>
        </w:rPr>
      </w:pPr>
    </w:p>
    <w:p w14:paraId="13F79AA7" w14:textId="77777777" w:rsidR="00660052" w:rsidRDefault="00660052">
      <w:pPr>
        <w:spacing w:after="200" w:line="312" w:lineRule="auto"/>
        <w:rPr>
          <w:lang w:val="en-GB"/>
        </w:rPr>
      </w:pPr>
      <w:r>
        <w:rPr>
          <w:lang w:val="en-GB"/>
        </w:rPr>
        <w:br w:type="page"/>
      </w:r>
    </w:p>
    <w:p w14:paraId="1CF4BB35" w14:textId="17CCEE45" w:rsidR="00660052" w:rsidRDefault="00660052" w:rsidP="00DE147D">
      <w:pPr>
        <w:pStyle w:val="TableHeader1"/>
      </w:pPr>
      <w:bookmarkStart w:id="81" w:name="_Toc457162642"/>
      <w:r w:rsidRPr="006713DD">
        <w:lastRenderedPageBreak/>
        <w:t>Aspirational Targets</w:t>
      </w:r>
      <w:r w:rsidR="00293364">
        <w:t xml:space="preserve"> for Selected Upgraded PEFA Indicators</w:t>
      </w:r>
      <w:bookmarkEnd w:id="81"/>
    </w:p>
    <w:tbl>
      <w:tblPr>
        <w:tblW w:w="5000" w:type="pct"/>
        <w:tblLayout w:type="fixed"/>
        <w:tblLook w:val="04A0" w:firstRow="1" w:lastRow="0" w:firstColumn="1" w:lastColumn="0" w:noHBand="0" w:noVBand="1"/>
      </w:tblPr>
      <w:tblGrid>
        <w:gridCol w:w="1574"/>
        <w:gridCol w:w="592"/>
        <w:gridCol w:w="593"/>
        <w:gridCol w:w="593"/>
        <w:gridCol w:w="1415"/>
        <w:gridCol w:w="1415"/>
        <w:gridCol w:w="1415"/>
        <w:gridCol w:w="1413"/>
      </w:tblGrid>
      <w:tr w:rsidR="009F5DB4" w:rsidRPr="004961D6" w14:paraId="4ACDDFCD" w14:textId="77777777" w:rsidTr="009F5DB4">
        <w:trPr>
          <w:trHeight w:val="20"/>
          <w:tblHeader/>
        </w:trPr>
        <w:tc>
          <w:tcPr>
            <w:tcW w:w="874" w:type="pct"/>
            <w:vMerge w:val="restart"/>
            <w:tcBorders>
              <w:top w:val="single" w:sz="4" w:space="0" w:color="auto"/>
              <w:left w:val="single" w:sz="4" w:space="0" w:color="auto"/>
              <w:bottom w:val="single" w:sz="4" w:space="0" w:color="000000"/>
              <w:right w:val="single" w:sz="4" w:space="0" w:color="auto"/>
            </w:tcBorders>
            <w:shd w:val="clear" w:color="auto" w:fill="ACD6A7" w:themeFill="accent4" w:themeFillTint="99"/>
            <w:hideMark/>
          </w:tcPr>
          <w:p w14:paraId="2B7F2D8C" w14:textId="77777777" w:rsidR="004961D6" w:rsidRPr="004961D6" w:rsidRDefault="004961D6" w:rsidP="004961D6">
            <w:pPr>
              <w:rPr>
                <w:rFonts w:ascii="Calibri" w:eastAsia="Times New Roman" w:hAnsi="Calibri"/>
                <w:b/>
                <w:bCs/>
                <w:color w:val="5F5F5F"/>
                <w:sz w:val="18"/>
                <w:szCs w:val="20"/>
              </w:rPr>
            </w:pPr>
            <w:r w:rsidRPr="004961D6">
              <w:rPr>
                <w:rFonts w:ascii="Calibri" w:eastAsia="Times New Roman" w:hAnsi="Calibri"/>
                <w:b/>
                <w:bCs/>
                <w:color w:val="5F5F5F"/>
                <w:sz w:val="18"/>
                <w:szCs w:val="20"/>
              </w:rPr>
              <w:t xml:space="preserve">Performance Indicator </w:t>
            </w:r>
          </w:p>
        </w:tc>
        <w:tc>
          <w:tcPr>
            <w:tcW w:w="329" w:type="pct"/>
            <w:vMerge w:val="restart"/>
            <w:tcBorders>
              <w:top w:val="single" w:sz="4" w:space="0" w:color="auto"/>
              <w:left w:val="single" w:sz="4" w:space="0" w:color="auto"/>
              <w:bottom w:val="single" w:sz="4" w:space="0" w:color="000000"/>
              <w:right w:val="single" w:sz="4" w:space="0" w:color="auto"/>
            </w:tcBorders>
            <w:shd w:val="clear" w:color="auto" w:fill="ACD6A7" w:themeFill="accent4" w:themeFillTint="99"/>
            <w:hideMark/>
          </w:tcPr>
          <w:p w14:paraId="4903308C" w14:textId="77777777" w:rsidR="004961D6" w:rsidRPr="004961D6" w:rsidRDefault="004961D6" w:rsidP="004961D6">
            <w:pPr>
              <w:jc w:val="center"/>
              <w:rPr>
                <w:rFonts w:ascii="Calibri" w:eastAsia="Times New Roman" w:hAnsi="Calibri"/>
                <w:b/>
                <w:bCs/>
                <w:color w:val="5F5F5F"/>
                <w:sz w:val="18"/>
                <w:szCs w:val="20"/>
              </w:rPr>
            </w:pPr>
            <w:r w:rsidRPr="004961D6">
              <w:rPr>
                <w:rFonts w:ascii="Calibri" w:eastAsia="Times New Roman" w:hAnsi="Calibri"/>
                <w:b/>
                <w:bCs/>
                <w:color w:val="5F5F5F"/>
                <w:sz w:val="18"/>
                <w:szCs w:val="20"/>
              </w:rPr>
              <w:t>2015 Est</w:t>
            </w:r>
          </w:p>
        </w:tc>
        <w:tc>
          <w:tcPr>
            <w:tcW w:w="658" w:type="pct"/>
            <w:gridSpan w:val="2"/>
            <w:tcBorders>
              <w:top w:val="single" w:sz="4" w:space="0" w:color="auto"/>
              <w:left w:val="nil"/>
              <w:bottom w:val="single" w:sz="4" w:space="0" w:color="auto"/>
              <w:right w:val="single" w:sz="4" w:space="0" w:color="000000"/>
            </w:tcBorders>
            <w:shd w:val="clear" w:color="auto" w:fill="4E9747" w:themeFill="accent4" w:themeFillShade="BF"/>
            <w:vAlign w:val="center"/>
            <w:hideMark/>
          </w:tcPr>
          <w:p w14:paraId="6927B3B0" w14:textId="28C68C52"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Aspirational &amp; Guiding Targets</w:t>
            </w:r>
          </w:p>
        </w:tc>
        <w:tc>
          <w:tcPr>
            <w:tcW w:w="3140" w:type="pct"/>
            <w:gridSpan w:val="4"/>
            <w:tcBorders>
              <w:top w:val="single" w:sz="4" w:space="0" w:color="auto"/>
              <w:left w:val="nil"/>
              <w:bottom w:val="single" w:sz="4" w:space="0" w:color="auto"/>
              <w:right w:val="single" w:sz="4" w:space="0" w:color="auto"/>
            </w:tcBorders>
            <w:shd w:val="clear" w:color="auto" w:fill="4E9747" w:themeFill="accent4" w:themeFillShade="BF"/>
            <w:vAlign w:val="center"/>
          </w:tcPr>
          <w:p w14:paraId="78114D42"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Meaning</w:t>
            </w:r>
          </w:p>
        </w:tc>
      </w:tr>
      <w:tr w:rsidR="009F5DB4" w:rsidRPr="004961D6" w14:paraId="67A860CE" w14:textId="77777777" w:rsidTr="009F5DB4">
        <w:trPr>
          <w:trHeight w:val="20"/>
          <w:tblHeader/>
        </w:trPr>
        <w:tc>
          <w:tcPr>
            <w:tcW w:w="874" w:type="pct"/>
            <w:vMerge/>
            <w:tcBorders>
              <w:top w:val="single" w:sz="4" w:space="0" w:color="auto"/>
              <w:left w:val="single" w:sz="4" w:space="0" w:color="auto"/>
              <w:bottom w:val="single" w:sz="4" w:space="0" w:color="auto"/>
              <w:right w:val="single" w:sz="4" w:space="0" w:color="auto"/>
            </w:tcBorders>
            <w:shd w:val="clear" w:color="auto" w:fill="ACD6A7" w:themeFill="accent4" w:themeFillTint="99"/>
            <w:vAlign w:val="center"/>
            <w:hideMark/>
          </w:tcPr>
          <w:p w14:paraId="570F9B01" w14:textId="77777777" w:rsidR="004961D6" w:rsidRPr="004961D6" w:rsidRDefault="004961D6" w:rsidP="004961D6">
            <w:pPr>
              <w:rPr>
                <w:rFonts w:ascii="Calibri" w:eastAsia="Times New Roman" w:hAnsi="Calibri"/>
                <w:b/>
                <w:bCs/>
                <w:color w:val="5F5F5F"/>
                <w:sz w:val="18"/>
                <w:szCs w:val="20"/>
              </w:rPr>
            </w:pPr>
          </w:p>
        </w:tc>
        <w:tc>
          <w:tcPr>
            <w:tcW w:w="329" w:type="pct"/>
            <w:vMerge/>
            <w:tcBorders>
              <w:top w:val="single" w:sz="4" w:space="0" w:color="auto"/>
              <w:left w:val="single" w:sz="4" w:space="0" w:color="auto"/>
              <w:bottom w:val="single" w:sz="4" w:space="0" w:color="auto"/>
              <w:right w:val="single" w:sz="4" w:space="0" w:color="auto"/>
            </w:tcBorders>
            <w:shd w:val="clear" w:color="auto" w:fill="ACD6A7" w:themeFill="accent4" w:themeFillTint="99"/>
            <w:vAlign w:val="center"/>
            <w:hideMark/>
          </w:tcPr>
          <w:p w14:paraId="0CBA65E9" w14:textId="77777777" w:rsidR="004961D6" w:rsidRPr="004961D6" w:rsidRDefault="004961D6" w:rsidP="004961D6">
            <w:pPr>
              <w:rPr>
                <w:rFonts w:ascii="Calibri" w:eastAsia="Times New Roman" w:hAnsi="Calibri"/>
                <w:b/>
                <w:bCs/>
                <w:color w:val="5F5F5F"/>
                <w:sz w:val="18"/>
                <w:szCs w:val="20"/>
              </w:rPr>
            </w:pPr>
          </w:p>
        </w:tc>
        <w:tc>
          <w:tcPr>
            <w:tcW w:w="329" w:type="pct"/>
            <w:tcBorders>
              <w:top w:val="nil"/>
              <w:left w:val="nil"/>
              <w:bottom w:val="single" w:sz="4" w:space="0" w:color="auto"/>
              <w:right w:val="nil"/>
            </w:tcBorders>
            <w:shd w:val="clear" w:color="auto" w:fill="ACD6A7" w:themeFill="accent4" w:themeFillTint="99"/>
            <w:hideMark/>
          </w:tcPr>
          <w:p w14:paraId="65E44860" w14:textId="77777777" w:rsidR="004961D6" w:rsidRPr="004961D6" w:rsidRDefault="004961D6" w:rsidP="004961D6">
            <w:pPr>
              <w:jc w:val="center"/>
              <w:rPr>
                <w:rFonts w:ascii="Calibri" w:eastAsia="Times New Roman" w:hAnsi="Calibri"/>
                <w:b/>
                <w:bCs/>
                <w:color w:val="5F5F5F"/>
                <w:sz w:val="18"/>
                <w:szCs w:val="20"/>
              </w:rPr>
            </w:pPr>
            <w:r w:rsidRPr="004961D6">
              <w:rPr>
                <w:rFonts w:ascii="Calibri" w:eastAsia="Times New Roman" w:hAnsi="Calibri"/>
                <w:b/>
                <w:bCs/>
                <w:color w:val="5F5F5F"/>
                <w:sz w:val="18"/>
                <w:szCs w:val="20"/>
              </w:rPr>
              <w:t>Medium Term</w:t>
            </w:r>
          </w:p>
        </w:tc>
        <w:tc>
          <w:tcPr>
            <w:tcW w:w="329" w:type="pct"/>
            <w:tcBorders>
              <w:top w:val="nil"/>
              <w:left w:val="single" w:sz="4" w:space="0" w:color="auto"/>
              <w:bottom w:val="single" w:sz="4" w:space="0" w:color="auto"/>
              <w:right w:val="nil"/>
            </w:tcBorders>
            <w:shd w:val="clear" w:color="auto" w:fill="ACD6A7" w:themeFill="accent4" w:themeFillTint="99"/>
            <w:hideMark/>
          </w:tcPr>
          <w:p w14:paraId="01B97594" w14:textId="77777777" w:rsidR="004961D6" w:rsidRPr="004961D6" w:rsidRDefault="004961D6" w:rsidP="004961D6">
            <w:pPr>
              <w:jc w:val="center"/>
              <w:rPr>
                <w:rFonts w:ascii="Calibri" w:eastAsia="Times New Roman" w:hAnsi="Calibri"/>
                <w:b/>
                <w:bCs/>
                <w:color w:val="5F5F5F"/>
                <w:sz w:val="18"/>
                <w:szCs w:val="20"/>
              </w:rPr>
            </w:pPr>
            <w:r w:rsidRPr="004961D6">
              <w:rPr>
                <w:rFonts w:ascii="Calibri" w:eastAsia="Times New Roman" w:hAnsi="Calibri"/>
                <w:b/>
                <w:bCs/>
                <w:color w:val="5F5F5F"/>
                <w:sz w:val="18"/>
                <w:szCs w:val="20"/>
              </w:rPr>
              <w:t>Longer Term</w:t>
            </w:r>
          </w:p>
        </w:tc>
        <w:tc>
          <w:tcPr>
            <w:tcW w:w="785" w:type="pct"/>
            <w:tcBorders>
              <w:top w:val="nil"/>
              <w:left w:val="single" w:sz="4" w:space="0" w:color="auto"/>
              <w:bottom w:val="single" w:sz="4" w:space="0" w:color="auto"/>
              <w:right w:val="nil"/>
            </w:tcBorders>
            <w:shd w:val="clear" w:color="auto" w:fill="ACD6A7" w:themeFill="accent4" w:themeFillTint="99"/>
            <w:hideMark/>
          </w:tcPr>
          <w:p w14:paraId="42E0550E" w14:textId="20150D81" w:rsidR="004961D6" w:rsidRPr="004961D6" w:rsidRDefault="004961D6" w:rsidP="004961D6">
            <w:pPr>
              <w:jc w:val="center"/>
              <w:rPr>
                <w:rFonts w:ascii="Calibri" w:eastAsia="Times New Roman" w:hAnsi="Calibri"/>
                <w:b/>
                <w:bCs/>
                <w:color w:val="5F5F5F"/>
                <w:sz w:val="18"/>
                <w:szCs w:val="20"/>
              </w:rPr>
            </w:pPr>
            <w:r w:rsidRPr="004961D6">
              <w:rPr>
                <w:rFonts w:ascii="Calibri" w:eastAsia="Times New Roman" w:hAnsi="Calibri"/>
                <w:b/>
                <w:bCs/>
                <w:color w:val="5F5F5F"/>
                <w:sz w:val="18"/>
                <w:szCs w:val="20"/>
              </w:rPr>
              <w:t>2015 Rating</w:t>
            </w:r>
          </w:p>
        </w:tc>
        <w:tc>
          <w:tcPr>
            <w:tcW w:w="785" w:type="pct"/>
            <w:tcBorders>
              <w:top w:val="nil"/>
              <w:left w:val="single" w:sz="4" w:space="0" w:color="auto"/>
              <w:bottom w:val="single" w:sz="4" w:space="0" w:color="auto"/>
              <w:right w:val="nil"/>
            </w:tcBorders>
            <w:shd w:val="clear" w:color="auto" w:fill="ACD6A7" w:themeFill="accent4" w:themeFillTint="99"/>
            <w:hideMark/>
          </w:tcPr>
          <w:p w14:paraId="332BCCF6" w14:textId="77777777" w:rsidR="004961D6" w:rsidRPr="004961D6" w:rsidRDefault="004961D6" w:rsidP="004961D6">
            <w:pPr>
              <w:jc w:val="center"/>
              <w:rPr>
                <w:rFonts w:ascii="Calibri" w:eastAsia="Times New Roman" w:hAnsi="Calibri"/>
                <w:b/>
                <w:bCs/>
                <w:color w:val="5F5F5F"/>
                <w:sz w:val="18"/>
                <w:szCs w:val="20"/>
              </w:rPr>
            </w:pPr>
            <w:r w:rsidRPr="004961D6">
              <w:rPr>
                <w:rFonts w:ascii="Calibri" w:eastAsia="Times New Roman" w:hAnsi="Calibri"/>
                <w:b/>
                <w:bCs/>
                <w:color w:val="5F5F5F"/>
                <w:sz w:val="18"/>
                <w:szCs w:val="20"/>
              </w:rPr>
              <w:t>2015 Comment</w:t>
            </w:r>
          </w:p>
        </w:tc>
        <w:tc>
          <w:tcPr>
            <w:tcW w:w="785" w:type="pct"/>
            <w:tcBorders>
              <w:top w:val="nil"/>
              <w:left w:val="single" w:sz="4" w:space="0" w:color="auto"/>
              <w:bottom w:val="single" w:sz="4" w:space="0" w:color="auto"/>
              <w:right w:val="nil"/>
            </w:tcBorders>
            <w:shd w:val="clear" w:color="auto" w:fill="ACD6A7" w:themeFill="accent4" w:themeFillTint="99"/>
            <w:hideMark/>
          </w:tcPr>
          <w:p w14:paraId="3262BFCD" w14:textId="77777777" w:rsidR="004961D6" w:rsidRPr="004961D6" w:rsidRDefault="004961D6" w:rsidP="004961D6">
            <w:pPr>
              <w:jc w:val="center"/>
              <w:rPr>
                <w:rFonts w:ascii="Calibri" w:eastAsia="Times New Roman" w:hAnsi="Calibri"/>
                <w:b/>
                <w:bCs/>
                <w:color w:val="5F5F5F"/>
                <w:sz w:val="18"/>
                <w:szCs w:val="20"/>
              </w:rPr>
            </w:pPr>
            <w:r w:rsidRPr="004961D6">
              <w:rPr>
                <w:rFonts w:ascii="Calibri" w:eastAsia="Times New Roman" w:hAnsi="Calibri"/>
                <w:b/>
                <w:bCs/>
                <w:color w:val="5F5F5F"/>
                <w:sz w:val="18"/>
                <w:szCs w:val="20"/>
              </w:rPr>
              <w:t>Medium Term</w:t>
            </w:r>
          </w:p>
        </w:tc>
        <w:tc>
          <w:tcPr>
            <w:tcW w:w="785" w:type="pct"/>
            <w:tcBorders>
              <w:top w:val="single" w:sz="4" w:space="0" w:color="auto"/>
              <w:left w:val="single" w:sz="4" w:space="0" w:color="auto"/>
              <w:bottom w:val="single" w:sz="4" w:space="0" w:color="auto"/>
              <w:right w:val="single" w:sz="4" w:space="0" w:color="auto"/>
            </w:tcBorders>
            <w:shd w:val="clear" w:color="auto" w:fill="ACD6A7" w:themeFill="accent4" w:themeFillTint="99"/>
            <w:hideMark/>
          </w:tcPr>
          <w:p w14:paraId="1164EB6D" w14:textId="77777777" w:rsidR="004961D6" w:rsidRPr="004961D6" w:rsidRDefault="004961D6" w:rsidP="004961D6">
            <w:pPr>
              <w:jc w:val="center"/>
              <w:rPr>
                <w:rFonts w:ascii="Calibri" w:eastAsia="Times New Roman" w:hAnsi="Calibri"/>
                <w:b/>
                <w:bCs/>
                <w:color w:val="5F5F5F"/>
                <w:sz w:val="18"/>
                <w:szCs w:val="20"/>
              </w:rPr>
            </w:pPr>
            <w:r w:rsidRPr="004961D6">
              <w:rPr>
                <w:rFonts w:ascii="Calibri" w:eastAsia="Times New Roman" w:hAnsi="Calibri"/>
                <w:b/>
                <w:bCs/>
                <w:color w:val="5F5F5F"/>
                <w:sz w:val="18"/>
                <w:szCs w:val="20"/>
              </w:rPr>
              <w:t>Longer Term</w:t>
            </w:r>
          </w:p>
        </w:tc>
      </w:tr>
      <w:tr w:rsidR="004961D6" w:rsidRPr="004961D6" w14:paraId="74ECF3FC"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41969F1E" w14:textId="77777777" w:rsidR="004961D6" w:rsidRPr="004961D6" w:rsidRDefault="004961D6" w:rsidP="004961D6">
            <w:pPr>
              <w:outlineLvl w:val="0"/>
              <w:rPr>
                <w:rFonts w:ascii="Calibri" w:eastAsia="Times New Roman" w:hAnsi="Calibri"/>
                <w:b/>
                <w:bCs/>
                <w:color w:val="5F5F5F"/>
                <w:sz w:val="18"/>
                <w:szCs w:val="20"/>
              </w:rPr>
            </w:pPr>
            <w:r w:rsidRPr="004961D6">
              <w:rPr>
                <w:rFonts w:ascii="Calibri" w:eastAsia="Times New Roman" w:hAnsi="Calibri"/>
                <w:b/>
                <w:bCs/>
                <w:color w:val="5F5F5F"/>
                <w:sz w:val="18"/>
                <w:szCs w:val="20"/>
              </w:rPr>
              <w:t xml:space="preserve">Upgraded PEFA: PI-11 Public Investment Management </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4A632B66"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D+</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5984B84D"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539F506B"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A</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21DCE8AC"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nil"/>
              <w:left w:val="single" w:sz="4" w:space="0" w:color="auto"/>
              <w:bottom w:val="single" w:sz="4" w:space="0" w:color="auto"/>
              <w:right w:val="nil"/>
            </w:tcBorders>
            <w:shd w:val="clear" w:color="auto" w:fill="C7E3C4" w:themeFill="accent4" w:themeFillTint="66"/>
            <w:noWrap/>
            <w:vAlign w:val="bottom"/>
            <w:hideMark/>
          </w:tcPr>
          <w:p w14:paraId="32D6D31F"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nil"/>
              <w:left w:val="nil"/>
              <w:bottom w:val="single" w:sz="4" w:space="0" w:color="auto"/>
              <w:right w:val="nil"/>
            </w:tcBorders>
            <w:shd w:val="clear" w:color="auto" w:fill="C7E3C4" w:themeFill="accent4" w:themeFillTint="66"/>
            <w:noWrap/>
            <w:vAlign w:val="bottom"/>
            <w:hideMark/>
          </w:tcPr>
          <w:p w14:paraId="766E0E6C"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nil"/>
              <w:left w:val="nil"/>
              <w:bottom w:val="single" w:sz="4" w:space="0" w:color="auto"/>
              <w:right w:val="single" w:sz="4" w:space="0" w:color="auto"/>
            </w:tcBorders>
            <w:shd w:val="clear" w:color="auto" w:fill="C7E3C4" w:themeFill="accent4" w:themeFillTint="66"/>
            <w:noWrap/>
            <w:vAlign w:val="bottom"/>
            <w:hideMark/>
          </w:tcPr>
          <w:p w14:paraId="772C2DFB"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523525D6"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415909DA"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PI11 (i) Objective economic analysis</w:t>
            </w:r>
          </w:p>
        </w:tc>
        <w:tc>
          <w:tcPr>
            <w:tcW w:w="329" w:type="pct"/>
            <w:tcBorders>
              <w:top w:val="nil"/>
              <w:left w:val="nil"/>
              <w:bottom w:val="single" w:sz="4" w:space="0" w:color="auto"/>
              <w:right w:val="single" w:sz="4" w:space="0" w:color="auto"/>
            </w:tcBorders>
            <w:shd w:val="clear" w:color="auto" w:fill="auto"/>
            <w:noWrap/>
            <w:hideMark/>
          </w:tcPr>
          <w:p w14:paraId="0FDBBB0D"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7BA3A6CE"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504318CF"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391B8D4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71087D1D" w14:textId="2EE20A23"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Confirmed for ENV. Risk of no indep</w:t>
            </w:r>
            <w:r w:rsidR="006D0F85">
              <w:rPr>
                <w:rFonts w:ascii="Calibri" w:eastAsia="Times New Roman" w:hAnsi="Calibri"/>
                <w:color w:val="000000"/>
                <w:sz w:val="18"/>
                <w:szCs w:val="20"/>
              </w:rPr>
              <w:t>en</w:t>
            </w:r>
            <w:r w:rsidRPr="004961D6">
              <w:rPr>
                <w:rFonts w:ascii="Calibri" w:eastAsia="Times New Roman" w:hAnsi="Calibri"/>
                <w:color w:val="000000"/>
                <w:sz w:val="18"/>
                <w:szCs w:val="20"/>
              </w:rPr>
              <w:t xml:space="preserve">dent review. Independence easy to achieve. Can </w:t>
            </w:r>
            <w:r w:rsidR="006D0F85" w:rsidRPr="004961D6">
              <w:rPr>
                <w:rFonts w:ascii="Calibri" w:eastAsia="Times New Roman" w:hAnsi="Calibri"/>
                <w:color w:val="000000"/>
                <w:sz w:val="18"/>
                <w:szCs w:val="20"/>
              </w:rPr>
              <w:t>leapfrog</w:t>
            </w:r>
            <w:r w:rsidRPr="004961D6">
              <w:rPr>
                <w:rFonts w:ascii="Calibri" w:eastAsia="Times New Roman" w:hAnsi="Calibri"/>
                <w:color w:val="000000"/>
                <w:sz w:val="18"/>
                <w:szCs w:val="20"/>
              </w:rPr>
              <w:t xml:space="preserve"> to B, with guidelines also.</w:t>
            </w:r>
          </w:p>
        </w:tc>
        <w:tc>
          <w:tcPr>
            <w:tcW w:w="785" w:type="pct"/>
            <w:tcBorders>
              <w:top w:val="nil"/>
              <w:left w:val="nil"/>
              <w:bottom w:val="single" w:sz="4" w:space="0" w:color="auto"/>
              <w:right w:val="single" w:sz="4" w:space="0" w:color="auto"/>
            </w:tcBorders>
            <w:shd w:val="clear" w:color="auto" w:fill="auto"/>
            <w:hideMark/>
          </w:tcPr>
          <w:p w14:paraId="6DB4BFF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At least 50% of major projects in the five major investment MDAs are appraised according to economic analysis as established by national guidelines, and validated by an entity other than the sponsoring MDA.</w:t>
            </w:r>
          </w:p>
        </w:tc>
        <w:tc>
          <w:tcPr>
            <w:tcW w:w="785" w:type="pct"/>
            <w:tcBorders>
              <w:top w:val="nil"/>
              <w:left w:val="nil"/>
              <w:bottom w:val="single" w:sz="4" w:space="0" w:color="auto"/>
              <w:right w:val="single" w:sz="4" w:space="0" w:color="auto"/>
            </w:tcBorders>
            <w:shd w:val="clear" w:color="auto" w:fill="auto"/>
            <w:hideMark/>
          </w:tcPr>
          <w:p w14:paraId="4A344483"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Major capital investment projects, are appraised according to economic analysis, as established by national guidelines, and validated by an entity other than the sponsoring MDA.</w:t>
            </w:r>
          </w:p>
        </w:tc>
      </w:tr>
      <w:tr w:rsidR="004961D6" w:rsidRPr="004961D6" w14:paraId="00D9FA6E"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5BF9712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PI11 (ii) Costing over the project life cycle</w:t>
            </w:r>
          </w:p>
        </w:tc>
        <w:tc>
          <w:tcPr>
            <w:tcW w:w="329" w:type="pct"/>
            <w:tcBorders>
              <w:top w:val="nil"/>
              <w:left w:val="nil"/>
              <w:bottom w:val="single" w:sz="4" w:space="0" w:color="auto"/>
              <w:right w:val="single" w:sz="4" w:space="0" w:color="auto"/>
            </w:tcBorders>
            <w:shd w:val="clear" w:color="auto" w:fill="auto"/>
            <w:noWrap/>
            <w:hideMark/>
          </w:tcPr>
          <w:p w14:paraId="0B780E3D"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17C6FECC"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48299A45"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7F1031D0" w14:textId="439CF3BD"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For at least 50 percent (by gross cost) of major projects, at least two MDAs with the most infrastructure projects prepare plans with full </w:t>
            </w:r>
            <w:r w:rsidR="006D0F85" w:rsidRPr="004961D6">
              <w:rPr>
                <w:rFonts w:ascii="Calibri" w:eastAsia="Times New Roman" w:hAnsi="Calibri"/>
                <w:color w:val="000000"/>
                <w:sz w:val="18"/>
                <w:szCs w:val="20"/>
              </w:rPr>
              <w:t>life cycle</w:t>
            </w:r>
            <w:r w:rsidRPr="004961D6">
              <w:rPr>
                <w:rFonts w:ascii="Calibri" w:eastAsia="Times New Roman" w:hAnsi="Calibri"/>
                <w:color w:val="000000"/>
                <w:sz w:val="18"/>
                <w:szCs w:val="20"/>
              </w:rPr>
              <w:t xml:space="preserve"> of the investment (including recurrent costs), which are discussed during the budget preparation process and included in MDA project proposals.</w:t>
            </w:r>
          </w:p>
        </w:tc>
        <w:tc>
          <w:tcPr>
            <w:tcW w:w="785" w:type="pct"/>
            <w:tcBorders>
              <w:top w:val="nil"/>
              <w:left w:val="nil"/>
              <w:bottom w:val="single" w:sz="4" w:space="0" w:color="auto"/>
              <w:right w:val="single" w:sz="4" w:space="0" w:color="auto"/>
            </w:tcBorders>
            <w:shd w:val="clear" w:color="auto" w:fill="auto"/>
            <w:hideMark/>
          </w:tcPr>
          <w:p w14:paraId="2B53F638"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Will need data but the big agencies appear ok. Getting regulations done will move to B. Recurrent costs in costing, but may not get included in forward estimates.</w:t>
            </w:r>
          </w:p>
        </w:tc>
        <w:tc>
          <w:tcPr>
            <w:tcW w:w="785" w:type="pct"/>
            <w:tcBorders>
              <w:top w:val="nil"/>
              <w:left w:val="nil"/>
              <w:bottom w:val="single" w:sz="4" w:space="0" w:color="auto"/>
              <w:right w:val="single" w:sz="4" w:space="0" w:color="auto"/>
            </w:tcBorders>
            <w:shd w:val="clear" w:color="auto" w:fill="auto"/>
            <w:hideMark/>
          </w:tcPr>
          <w:p w14:paraId="4F198D59"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Regulations or guidelines, that require comprehensive plans for the full life-cycle costs (including recurrent costs) of the investment to be submitted, exist and are partially implemented and included in MDA project proposals.</w:t>
            </w:r>
          </w:p>
        </w:tc>
        <w:tc>
          <w:tcPr>
            <w:tcW w:w="785" w:type="pct"/>
            <w:tcBorders>
              <w:top w:val="nil"/>
              <w:left w:val="nil"/>
              <w:bottom w:val="single" w:sz="4" w:space="0" w:color="auto"/>
              <w:right w:val="single" w:sz="4" w:space="0" w:color="auto"/>
            </w:tcBorders>
            <w:shd w:val="clear" w:color="auto" w:fill="auto"/>
            <w:hideMark/>
          </w:tcPr>
          <w:p w14:paraId="2250625B"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Regulations or guidelines, that require comprehensive plans for the full life-cycle costs (including recurrent costs) of the investment to be submitted in MDA project proposals, exist and are implemented.</w:t>
            </w:r>
          </w:p>
        </w:tc>
      </w:tr>
      <w:tr w:rsidR="004961D6" w:rsidRPr="004961D6" w14:paraId="49B965F5"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4568F85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PI11 (iii) Project monitoring and reporting</w:t>
            </w:r>
          </w:p>
        </w:tc>
        <w:tc>
          <w:tcPr>
            <w:tcW w:w="329" w:type="pct"/>
            <w:tcBorders>
              <w:top w:val="nil"/>
              <w:left w:val="nil"/>
              <w:bottom w:val="single" w:sz="4" w:space="0" w:color="auto"/>
              <w:right w:val="single" w:sz="4" w:space="0" w:color="auto"/>
            </w:tcBorders>
            <w:shd w:val="clear" w:color="auto" w:fill="auto"/>
            <w:noWrap/>
            <w:hideMark/>
          </w:tcPr>
          <w:p w14:paraId="670D2702"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7E9E5C80"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1C4FA678"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36B208C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The two MDAs with the largest share of infrastructure projects have </w:t>
            </w:r>
            <w:r w:rsidRPr="004961D6">
              <w:rPr>
                <w:rFonts w:ascii="Calibri" w:eastAsia="Times New Roman" w:hAnsi="Calibri"/>
                <w:color w:val="000000"/>
                <w:sz w:val="18"/>
                <w:szCs w:val="20"/>
              </w:rPr>
              <w:lastRenderedPageBreak/>
              <w:t>some processes in place to monitor physical and financial progress of project implementation. Project monitoring reports to management are prepared on an ad hoc basis.</w:t>
            </w:r>
          </w:p>
        </w:tc>
        <w:tc>
          <w:tcPr>
            <w:tcW w:w="785" w:type="pct"/>
            <w:tcBorders>
              <w:top w:val="nil"/>
              <w:left w:val="nil"/>
              <w:bottom w:val="single" w:sz="4" w:space="0" w:color="auto"/>
              <w:right w:val="single" w:sz="4" w:space="0" w:color="auto"/>
            </w:tcBorders>
            <w:shd w:val="clear" w:color="auto" w:fill="auto"/>
            <w:hideMark/>
          </w:tcPr>
          <w:p w14:paraId="6706D909"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B appropriate likely, C to be safe. Then move to B easy.</w:t>
            </w:r>
          </w:p>
        </w:tc>
        <w:tc>
          <w:tcPr>
            <w:tcW w:w="785" w:type="pct"/>
            <w:tcBorders>
              <w:top w:val="nil"/>
              <w:left w:val="nil"/>
              <w:bottom w:val="single" w:sz="4" w:space="0" w:color="auto"/>
              <w:right w:val="single" w:sz="4" w:space="0" w:color="auto"/>
            </w:tcBorders>
            <w:shd w:val="clear" w:color="auto" w:fill="auto"/>
            <w:hideMark/>
          </w:tcPr>
          <w:p w14:paraId="0CC110F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Major MDAs maintain databases (automated or manual), which </w:t>
            </w:r>
            <w:r w:rsidRPr="004961D6">
              <w:rPr>
                <w:rFonts w:ascii="Calibri" w:eastAsia="Times New Roman" w:hAnsi="Calibri"/>
                <w:color w:val="000000"/>
                <w:sz w:val="18"/>
                <w:szCs w:val="20"/>
              </w:rPr>
              <w:lastRenderedPageBreak/>
              <w:t>may not be complete or entirely accurate, on approved projects, on physical and financial progress of project implementation. Project monitoring reports are made available to management at least annually.</w:t>
            </w:r>
          </w:p>
        </w:tc>
        <w:tc>
          <w:tcPr>
            <w:tcW w:w="785" w:type="pct"/>
            <w:tcBorders>
              <w:top w:val="nil"/>
              <w:left w:val="nil"/>
              <w:bottom w:val="single" w:sz="4" w:space="0" w:color="auto"/>
              <w:right w:val="single" w:sz="4" w:space="0" w:color="auto"/>
            </w:tcBorders>
            <w:shd w:val="clear" w:color="auto" w:fill="auto"/>
            <w:hideMark/>
          </w:tcPr>
          <w:p w14:paraId="65B41C95"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 xml:space="preserve">Government maintains complete and accurate databases (), on </w:t>
            </w:r>
            <w:r w:rsidRPr="004961D6">
              <w:rPr>
                <w:rFonts w:ascii="Calibri" w:eastAsia="Times New Roman" w:hAnsi="Calibri"/>
                <w:color w:val="000000"/>
                <w:sz w:val="18"/>
                <w:szCs w:val="20"/>
              </w:rPr>
              <w:lastRenderedPageBreak/>
              <w:t>approved projects, on physical and financial progress of project implementation and estimates of completion rates. Project monitoring reports are made available to management at least quarterly.</w:t>
            </w:r>
          </w:p>
        </w:tc>
      </w:tr>
      <w:tr w:rsidR="004961D6" w:rsidRPr="004961D6" w14:paraId="3AB32634"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68893C12" w14:textId="77777777" w:rsidR="004961D6" w:rsidRPr="004961D6" w:rsidRDefault="004961D6" w:rsidP="004961D6">
            <w:pPr>
              <w:outlineLvl w:val="0"/>
              <w:rPr>
                <w:rFonts w:ascii="Calibri" w:eastAsia="Times New Roman" w:hAnsi="Calibri"/>
                <w:b/>
                <w:bCs/>
                <w:color w:val="5F5F5F"/>
                <w:sz w:val="18"/>
                <w:szCs w:val="20"/>
              </w:rPr>
            </w:pPr>
            <w:r w:rsidRPr="004961D6">
              <w:rPr>
                <w:rFonts w:ascii="Calibri" w:eastAsia="Times New Roman" w:hAnsi="Calibri"/>
                <w:b/>
                <w:bCs/>
                <w:color w:val="5F5F5F"/>
                <w:sz w:val="18"/>
                <w:szCs w:val="20"/>
              </w:rPr>
              <w:lastRenderedPageBreak/>
              <w:t xml:space="preserve">Upgraded PEFA: PI-12 Public Asset Management </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73D27719"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D</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6C2FDDE2"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C</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3602536"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1A8030B5"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42D94A0C"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24FA9457"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3C198940"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7422BC6B"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05CD7D73"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PI2 (ii) Quality of central government non-financial asset monitoring</w:t>
            </w:r>
          </w:p>
        </w:tc>
        <w:tc>
          <w:tcPr>
            <w:tcW w:w="329" w:type="pct"/>
            <w:tcBorders>
              <w:top w:val="nil"/>
              <w:left w:val="nil"/>
              <w:bottom w:val="single" w:sz="4" w:space="0" w:color="auto"/>
              <w:right w:val="single" w:sz="4" w:space="0" w:color="auto"/>
            </w:tcBorders>
            <w:shd w:val="clear" w:color="auto" w:fill="auto"/>
            <w:noWrap/>
            <w:hideMark/>
          </w:tcPr>
          <w:p w14:paraId="37524F1D"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6BB1D70F"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20945E40"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785" w:type="pct"/>
            <w:tcBorders>
              <w:top w:val="nil"/>
              <w:left w:val="nil"/>
              <w:bottom w:val="single" w:sz="4" w:space="0" w:color="auto"/>
              <w:right w:val="single" w:sz="4" w:space="0" w:color="auto"/>
            </w:tcBorders>
            <w:shd w:val="clear" w:color="auto" w:fill="auto"/>
            <w:hideMark/>
          </w:tcPr>
          <w:p w14:paraId="76F0843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040CBF9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Not enough fixed asset registers. Makes it difficult to plan.</w:t>
            </w:r>
          </w:p>
        </w:tc>
        <w:tc>
          <w:tcPr>
            <w:tcW w:w="785" w:type="pct"/>
            <w:tcBorders>
              <w:top w:val="nil"/>
              <w:left w:val="nil"/>
              <w:bottom w:val="single" w:sz="4" w:space="0" w:color="auto"/>
              <w:right w:val="single" w:sz="4" w:space="0" w:color="auto"/>
            </w:tcBorders>
            <w:shd w:val="clear" w:color="auto" w:fill="auto"/>
            <w:hideMark/>
          </w:tcPr>
          <w:p w14:paraId="781FECA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Fixed asset registers exist. Reports on assets are produced occasionally.</w:t>
            </w:r>
          </w:p>
        </w:tc>
        <w:tc>
          <w:tcPr>
            <w:tcW w:w="785" w:type="pct"/>
            <w:tcBorders>
              <w:top w:val="nil"/>
              <w:left w:val="nil"/>
              <w:bottom w:val="single" w:sz="4" w:space="0" w:color="auto"/>
              <w:right w:val="single" w:sz="4" w:space="0" w:color="auto"/>
            </w:tcBorders>
            <w:shd w:val="clear" w:color="auto" w:fill="auto"/>
            <w:hideMark/>
          </w:tcPr>
          <w:p w14:paraId="7BC5F3B1"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Up to date and substantially complete fixed asset registers exist. Comprehensive management and statistical reports (covering assets and related operations) are produced at least annually and disclosed.</w:t>
            </w:r>
          </w:p>
        </w:tc>
      </w:tr>
      <w:tr w:rsidR="004961D6" w:rsidRPr="004961D6" w14:paraId="2A2B7B4C"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73A33D18"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PI2 (iii) Transparency in the sale, transfer and disposal of non-financial assets and usage rights</w:t>
            </w:r>
          </w:p>
        </w:tc>
        <w:tc>
          <w:tcPr>
            <w:tcW w:w="329" w:type="pct"/>
            <w:tcBorders>
              <w:top w:val="nil"/>
              <w:left w:val="nil"/>
              <w:bottom w:val="single" w:sz="4" w:space="0" w:color="auto"/>
              <w:right w:val="single" w:sz="4" w:space="0" w:color="auto"/>
            </w:tcBorders>
            <w:shd w:val="clear" w:color="auto" w:fill="auto"/>
            <w:noWrap/>
            <w:hideMark/>
          </w:tcPr>
          <w:p w14:paraId="586BB508"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370CE2BA"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0462C5DA"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785" w:type="pct"/>
            <w:tcBorders>
              <w:top w:val="nil"/>
              <w:left w:val="nil"/>
              <w:bottom w:val="single" w:sz="4" w:space="0" w:color="auto"/>
              <w:right w:val="single" w:sz="4" w:space="0" w:color="auto"/>
            </w:tcBorders>
            <w:shd w:val="clear" w:color="auto" w:fill="auto"/>
            <w:hideMark/>
          </w:tcPr>
          <w:p w14:paraId="5C4CEC39"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0E0F311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Disposal legislation unclear</w:t>
            </w:r>
          </w:p>
        </w:tc>
        <w:tc>
          <w:tcPr>
            <w:tcW w:w="785" w:type="pct"/>
            <w:tcBorders>
              <w:top w:val="nil"/>
              <w:left w:val="nil"/>
              <w:bottom w:val="single" w:sz="4" w:space="0" w:color="auto"/>
              <w:right w:val="single" w:sz="4" w:space="0" w:color="auto"/>
            </w:tcBorders>
            <w:shd w:val="clear" w:color="auto" w:fill="auto"/>
            <w:hideMark/>
          </w:tcPr>
          <w:p w14:paraId="77DBAFF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procedures for the sale, transfer or disposal of non-financial assets and asset usage rights are established in the legislation.</w:t>
            </w:r>
          </w:p>
        </w:tc>
        <w:tc>
          <w:tcPr>
            <w:tcW w:w="785" w:type="pct"/>
            <w:tcBorders>
              <w:top w:val="nil"/>
              <w:left w:val="nil"/>
              <w:bottom w:val="single" w:sz="4" w:space="0" w:color="auto"/>
              <w:right w:val="single" w:sz="4" w:space="0" w:color="auto"/>
            </w:tcBorders>
            <w:shd w:val="clear" w:color="auto" w:fill="auto"/>
            <w:hideMark/>
          </w:tcPr>
          <w:p w14:paraId="41F9E0A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procedures for the competitive and transparent sale, transfer or disposal of non-financial assets and asset usage rights are established in the legislation and are respected in the majority of cases.</w:t>
            </w:r>
          </w:p>
        </w:tc>
      </w:tr>
      <w:tr w:rsidR="004961D6" w:rsidRPr="004961D6" w14:paraId="794EC0DE"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hideMark/>
          </w:tcPr>
          <w:p w14:paraId="6125E148" w14:textId="77777777" w:rsidR="004961D6" w:rsidRPr="004961D6" w:rsidRDefault="004961D6" w:rsidP="004961D6">
            <w:pPr>
              <w:outlineLvl w:val="0"/>
              <w:rPr>
                <w:rFonts w:ascii="Calibri" w:eastAsia="Times New Roman" w:hAnsi="Calibri"/>
                <w:b/>
                <w:bCs/>
                <w:color w:val="5F5F5F"/>
                <w:sz w:val="18"/>
                <w:szCs w:val="20"/>
              </w:rPr>
            </w:pPr>
            <w:r w:rsidRPr="004961D6">
              <w:rPr>
                <w:rFonts w:ascii="Calibri" w:eastAsia="Times New Roman" w:hAnsi="Calibri"/>
                <w:b/>
                <w:bCs/>
                <w:color w:val="5F5F5F"/>
                <w:sz w:val="18"/>
                <w:szCs w:val="20"/>
              </w:rPr>
              <w:lastRenderedPageBreak/>
              <w:t xml:space="preserve">Upgraded PEFA: PI-16 Medium-term perspective in expenditure budgeting </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5407CB9"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D+</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15FD7876"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C+</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380303A3"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66AF439A"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6CC15E68"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514FB876"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7A646A4B"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4C554331"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5D4A0E2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PI6 (i) Coverage and content of sector strategies</w:t>
            </w:r>
          </w:p>
        </w:tc>
        <w:tc>
          <w:tcPr>
            <w:tcW w:w="329" w:type="pct"/>
            <w:tcBorders>
              <w:top w:val="nil"/>
              <w:left w:val="nil"/>
              <w:bottom w:val="single" w:sz="4" w:space="0" w:color="auto"/>
              <w:right w:val="single" w:sz="4" w:space="0" w:color="auto"/>
            </w:tcBorders>
            <w:shd w:val="clear" w:color="auto" w:fill="auto"/>
            <w:noWrap/>
            <w:hideMark/>
          </w:tcPr>
          <w:p w14:paraId="7D0D60E7"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054B785B"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3B54E70B"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43305C6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Sector strategies exist for sectors representing at least 25% of primary expenditure with full costing of recurrent and investment expenditure as a basis for annual and medium-term budget proposals.</w:t>
            </w:r>
          </w:p>
        </w:tc>
        <w:tc>
          <w:tcPr>
            <w:tcW w:w="785" w:type="pct"/>
            <w:tcBorders>
              <w:top w:val="nil"/>
              <w:left w:val="nil"/>
              <w:bottom w:val="single" w:sz="4" w:space="0" w:color="auto"/>
              <w:right w:val="single" w:sz="4" w:space="0" w:color="auto"/>
            </w:tcBorders>
            <w:shd w:val="clear" w:color="auto" w:fill="auto"/>
            <w:hideMark/>
          </w:tcPr>
          <w:p w14:paraId="31549E6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Same as 2013</w:t>
            </w:r>
          </w:p>
        </w:tc>
        <w:tc>
          <w:tcPr>
            <w:tcW w:w="785" w:type="pct"/>
            <w:tcBorders>
              <w:top w:val="nil"/>
              <w:left w:val="nil"/>
              <w:bottom w:val="single" w:sz="4" w:space="0" w:color="auto"/>
              <w:right w:val="single" w:sz="4" w:space="0" w:color="auto"/>
            </w:tcBorders>
            <w:shd w:val="clear" w:color="auto" w:fill="auto"/>
            <w:hideMark/>
          </w:tcPr>
          <w:p w14:paraId="164C9801"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Sector strategies exist for sectors representing at least 50% of primary expenditure with full costing of recurrent and investment expenditure as a basis for annual and medium-term budget proposals.</w:t>
            </w:r>
          </w:p>
        </w:tc>
        <w:tc>
          <w:tcPr>
            <w:tcW w:w="785" w:type="pct"/>
            <w:tcBorders>
              <w:top w:val="nil"/>
              <w:left w:val="nil"/>
              <w:bottom w:val="single" w:sz="4" w:space="0" w:color="auto"/>
              <w:right w:val="single" w:sz="4" w:space="0" w:color="auto"/>
            </w:tcBorders>
            <w:shd w:val="clear" w:color="auto" w:fill="auto"/>
            <w:hideMark/>
          </w:tcPr>
          <w:p w14:paraId="13700AA6"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Sector strategies exist for sectors representing at least 75% of primary expenditure with full costing of recurrent and investment expenditure as a basis for annual and medium-term budget proposals.</w:t>
            </w:r>
          </w:p>
        </w:tc>
      </w:tr>
      <w:tr w:rsidR="004961D6" w:rsidRPr="004961D6" w14:paraId="4BF0506E"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7DFF942D"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PI6 (iii) Links between the medium-term framework and annual budgets</w:t>
            </w:r>
          </w:p>
        </w:tc>
        <w:tc>
          <w:tcPr>
            <w:tcW w:w="329" w:type="pct"/>
            <w:tcBorders>
              <w:top w:val="nil"/>
              <w:left w:val="nil"/>
              <w:bottom w:val="single" w:sz="4" w:space="0" w:color="auto"/>
              <w:right w:val="single" w:sz="4" w:space="0" w:color="auto"/>
            </w:tcBorders>
            <w:shd w:val="clear" w:color="auto" w:fill="auto"/>
            <w:noWrap/>
            <w:hideMark/>
          </w:tcPr>
          <w:p w14:paraId="50E47955"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680F9CCD"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39FF4608"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785" w:type="pct"/>
            <w:tcBorders>
              <w:top w:val="nil"/>
              <w:left w:val="nil"/>
              <w:bottom w:val="single" w:sz="4" w:space="0" w:color="auto"/>
              <w:right w:val="single" w:sz="4" w:space="0" w:color="auto"/>
            </w:tcBorders>
            <w:shd w:val="clear" w:color="auto" w:fill="auto"/>
            <w:hideMark/>
          </w:tcPr>
          <w:p w14:paraId="112E676B"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3C42246D"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Same as 2013</w:t>
            </w:r>
          </w:p>
        </w:tc>
        <w:tc>
          <w:tcPr>
            <w:tcW w:w="785" w:type="pct"/>
            <w:tcBorders>
              <w:top w:val="nil"/>
              <w:left w:val="nil"/>
              <w:bottom w:val="single" w:sz="4" w:space="0" w:color="auto"/>
              <w:right w:val="single" w:sz="4" w:space="0" w:color="auto"/>
            </w:tcBorders>
            <w:shd w:val="clear" w:color="auto" w:fill="auto"/>
            <w:hideMark/>
          </w:tcPr>
          <w:p w14:paraId="507C380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Links between the medium term-framework’s second year estimates and setting of the annual budget for the following fiscal year is clear, for MDAs representing 50% of primary expenditure and any major differences are explained.</w:t>
            </w:r>
          </w:p>
        </w:tc>
        <w:tc>
          <w:tcPr>
            <w:tcW w:w="785" w:type="pct"/>
            <w:tcBorders>
              <w:top w:val="nil"/>
              <w:left w:val="nil"/>
              <w:bottom w:val="single" w:sz="4" w:space="0" w:color="auto"/>
              <w:right w:val="single" w:sz="4" w:space="0" w:color="auto"/>
            </w:tcBorders>
            <w:shd w:val="clear" w:color="auto" w:fill="auto"/>
            <w:hideMark/>
          </w:tcPr>
          <w:p w14:paraId="487F050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Links between the medium-term framework’s second year estimates and setting of the annual budget for the following fiscal year is clear, for MDAs representing 75% of primary expenditure and any major differences are explained</w:t>
            </w:r>
          </w:p>
        </w:tc>
      </w:tr>
      <w:tr w:rsidR="004961D6" w:rsidRPr="004961D6" w14:paraId="7D30518D"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hideMark/>
          </w:tcPr>
          <w:p w14:paraId="5D4A6DF7" w14:textId="77777777" w:rsidR="004961D6" w:rsidRPr="004961D6" w:rsidRDefault="004961D6" w:rsidP="004961D6">
            <w:pPr>
              <w:outlineLvl w:val="0"/>
              <w:rPr>
                <w:rFonts w:ascii="Calibri" w:eastAsia="Times New Roman" w:hAnsi="Calibri"/>
                <w:b/>
                <w:bCs/>
                <w:color w:val="5F5F5F"/>
                <w:sz w:val="18"/>
                <w:szCs w:val="20"/>
              </w:rPr>
            </w:pPr>
            <w:r w:rsidRPr="004961D6">
              <w:rPr>
                <w:rFonts w:ascii="Calibri" w:eastAsia="Times New Roman" w:hAnsi="Calibri"/>
                <w:b/>
                <w:bCs/>
                <w:color w:val="5F5F5F"/>
                <w:sz w:val="18"/>
                <w:szCs w:val="20"/>
              </w:rPr>
              <w:t xml:space="preserve">Upgraded PEFA: PI-10 Fiscal risk management </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B698D0D"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C</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6B54E9E9"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339E86B5"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A</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63A2995B"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6FE21C76"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506AC3FE"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2AEDBB1F"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15B1FA2B"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41B57E6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PI0 (i) Extent of central government monitoring of AGAs and PEs</w:t>
            </w:r>
          </w:p>
        </w:tc>
        <w:tc>
          <w:tcPr>
            <w:tcW w:w="329" w:type="pct"/>
            <w:tcBorders>
              <w:top w:val="nil"/>
              <w:left w:val="nil"/>
              <w:bottom w:val="single" w:sz="4" w:space="0" w:color="auto"/>
              <w:right w:val="single" w:sz="4" w:space="0" w:color="auto"/>
            </w:tcBorders>
            <w:shd w:val="clear" w:color="auto" w:fill="auto"/>
            <w:noWrap/>
            <w:hideMark/>
          </w:tcPr>
          <w:p w14:paraId="6ABE9905"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2D0134BA"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329" w:type="pct"/>
            <w:tcBorders>
              <w:top w:val="nil"/>
              <w:left w:val="nil"/>
              <w:bottom w:val="single" w:sz="4" w:space="0" w:color="auto"/>
              <w:right w:val="single" w:sz="4" w:space="0" w:color="auto"/>
            </w:tcBorders>
            <w:shd w:val="clear" w:color="auto" w:fill="auto"/>
            <w:noWrap/>
            <w:hideMark/>
          </w:tcPr>
          <w:p w14:paraId="22508A3B"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06D3B7ED"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0343C54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Same as 2013</w:t>
            </w:r>
          </w:p>
        </w:tc>
        <w:tc>
          <w:tcPr>
            <w:tcW w:w="785" w:type="pct"/>
            <w:tcBorders>
              <w:top w:val="nil"/>
              <w:left w:val="nil"/>
              <w:bottom w:val="single" w:sz="4" w:space="0" w:color="auto"/>
              <w:right w:val="single" w:sz="4" w:space="0" w:color="auto"/>
            </w:tcBorders>
            <w:shd w:val="clear" w:color="auto" w:fill="auto"/>
            <w:hideMark/>
          </w:tcPr>
          <w:p w14:paraId="59F522BE"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Central government receives annual audited financial reports from all AGAs and PEs and consolidates all fiscal risk issues into an annual </w:t>
            </w:r>
            <w:r w:rsidRPr="004961D6">
              <w:rPr>
                <w:rFonts w:ascii="Calibri" w:eastAsia="Times New Roman" w:hAnsi="Calibri"/>
                <w:color w:val="000000"/>
                <w:sz w:val="18"/>
                <w:szCs w:val="20"/>
              </w:rPr>
              <w:lastRenderedPageBreak/>
              <w:t>(or more frequent) report, including a discussion of AGAs and PEs quasi-fiscal activities.</w:t>
            </w:r>
          </w:p>
        </w:tc>
        <w:tc>
          <w:tcPr>
            <w:tcW w:w="785" w:type="pct"/>
            <w:tcBorders>
              <w:top w:val="nil"/>
              <w:left w:val="nil"/>
              <w:bottom w:val="single" w:sz="4" w:space="0" w:color="auto"/>
              <w:right w:val="single" w:sz="4" w:space="0" w:color="auto"/>
            </w:tcBorders>
            <w:shd w:val="clear" w:color="auto" w:fill="auto"/>
            <w:hideMark/>
          </w:tcPr>
          <w:p w14:paraId="2C42B1F6"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 xml:space="preserve">Central government receives annual audited financial reports from all AGAs and PEs and consolidates all fiscal risk issues into an annual </w:t>
            </w:r>
            <w:r w:rsidRPr="004961D6">
              <w:rPr>
                <w:rFonts w:ascii="Calibri" w:eastAsia="Times New Roman" w:hAnsi="Calibri"/>
                <w:color w:val="000000"/>
                <w:sz w:val="18"/>
                <w:szCs w:val="20"/>
              </w:rPr>
              <w:lastRenderedPageBreak/>
              <w:t>(or more frequent) report, including a discussion of AGAs and PEs quasi-fiscal activities.</w:t>
            </w:r>
          </w:p>
        </w:tc>
      </w:tr>
      <w:tr w:rsidR="004961D6" w:rsidRPr="004961D6" w14:paraId="56899297"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67D70841"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PI0 (ii) Extent of central government monitoring of SNGs’ fiscal position</w:t>
            </w:r>
          </w:p>
        </w:tc>
        <w:tc>
          <w:tcPr>
            <w:tcW w:w="329" w:type="pct"/>
            <w:tcBorders>
              <w:top w:val="nil"/>
              <w:left w:val="nil"/>
              <w:bottom w:val="single" w:sz="4" w:space="0" w:color="auto"/>
              <w:right w:val="single" w:sz="4" w:space="0" w:color="auto"/>
            </w:tcBorders>
            <w:shd w:val="clear" w:color="auto" w:fill="auto"/>
            <w:noWrap/>
            <w:hideMark/>
          </w:tcPr>
          <w:p w14:paraId="3F648E23"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329" w:type="pct"/>
            <w:tcBorders>
              <w:top w:val="nil"/>
              <w:left w:val="nil"/>
              <w:bottom w:val="single" w:sz="4" w:space="0" w:color="auto"/>
              <w:right w:val="single" w:sz="4" w:space="0" w:color="auto"/>
            </w:tcBorders>
            <w:shd w:val="clear" w:color="auto" w:fill="auto"/>
            <w:noWrap/>
            <w:hideMark/>
          </w:tcPr>
          <w:p w14:paraId="0FADBD78"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329" w:type="pct"/>
            <w:tcBorders>
              <w:top w:val="nil"/>
              <w:left w:val="nil"/>
              <w:bottom w:val="single" w:sz="4" w:space="0" w:color="auto"/>
              <w:right w:val="single" w:sz="4" w:space="0" w:color="auto"/>
            </w:tcBorders>
            <w:shd w:val="clear" w:color="auto" w:fill="auto"/>
            <w:noWrap/>
            <w:hideMark/>
          </w:tcPr>
          <w:p w14:paraId="174A5586"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19BFC09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SNG cannot generate fiscal liabilities for central government OR the net fiscal position is monitored at least annually for all levels of SNG and central government consolidates overall fiscal risk into annual (or more frequent) reports.</w:t>
            </w:r>
          </w:p>
        </w:tc>
        <w:tc>
          <w:tcPr>
            <w:tcW w:w="785" w:type="pct"/>
            <w:tcBorders>
              <w:top w:val="nil"/>
              <w:left w:val="nil"/>
              <w:bottom w:val="single" w:sz="4" w:space="0" w:color="auto"/>
              <w:right w:val="single" w:sz="4" w:space="0" w:color="auto"/>
            </w:tcBorders>
            <w:shd w:val="clear" w:color="auto" w:fill="auto"/>
            <w:hideMark/>
          </w:tcPr>
          <w:p w14:paraId="6C4CECB9"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Same as 2013</w:t>
            </w:r>
          </w:p>
        </w:tc>
        <w:tc>
          <w:tcPr>
            <w:tcW w:w="785" w:type="pct"/>
            <w:tcBorders>
              <w:top w:val="nil"/>
              <w:left w:val="nil"/>
              <w:bottom w:val="single" w:sz="4" w:space="0" w:color="auto"/>
              <w:right w:val="single" w:sz="4" w:space="0" w:color="auto"/>
            </w:tcBorders>
            <w:shd w:val="clear" w:color="auto" w:fill="auto"/>
            <w:hideMark/>
          </w:tcPr>
          <w:p w14:paraId="5E225D0E"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SNG cannot generate fiscal liabilities for central government OR the net fiscal position is monitored at least annually for all levels of SNG and central government consolidates overall fiscal risk into annual (or more frequent) reports.</w:t>
            </w:r>
          </w:p>
        </w:tc>
        <w:tc>
          <w:tcPr>
            <w:tcW w:w="785" w:type="pct"/>
            <w:tcBorders>
              <w:top w:val="nil"/>
              <w:left w:val="nil"/>
              <w:bottom w:val="single" w:sz="4" w:space="0" w:color="auto"/>
              <w:right w:val="single" w:sz="4" w:space="0" w:color="auto"/>
            </w:tcBorders>
            <w:shd w:val="clear" w:color="auto" w:fill="auto"/>
            <w:hideMark/>
          </w:tcPr>
          <w:p w14:paraId="6758D8F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SNG cannot generate fiscal liabilities for central government OR the net fiscal position is monitored at least annually for all levels of SNG and central government consolidates overall fiscal risk into annual (or more frequent) reports.</w:t>
            </w:r>
          </w:p>
        </w:tc>
      </w:tr>
      <w:tr w:rsidR="004961D6" w:rsidRPr="004961D6" w14:paraId="7136EB29"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76C99088"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PI0 (iii) Extent of central government monitoring of explicit contingent liabilities from central government programs and projects</w:t>
            </w:r>
          </w:p>
        </w:tc>
        <w:tc>
          <w:tcPr>
            <w:tcW w:w="329" w:type="pct"/>
            <w:tcBorders>
              <w:top w:val="nil"/>
              <w:left w:val="nil"/>
              <w:bottom w:val="single" w:sz="4" w:space="0" w:color="auto"/>
              <w:right w:val="single" w:sz="4" w:space="0" w:color="auto"/>
            </w:tcBorders>
            <w:shd w:val="clear" w:color="auto" w:fill="auto"/>
            <w:noWrap/>
            <w:hideMark/>
          </w:tcPr>
          <w:p w14:paraId="2DBA9DE7"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6B48815B"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5797631D"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785" w:type="pct"/>
            <w:tcBorders>
              <w:top w:val="nil"/>
              <w:left w:val="nil"/>
              <w:bottom w:val="single" w:sz="4" w:space="0" w:color="auto"/>
              <w:right w:val="single" w:sz="4" w:space="0" w:color="auto"/>
            </w:tcBorders>
            <w:shd w:val="clear" w:color="auto" w:fill="auto"/>
            <w:hideMark/>
          </w:tcPr>
          <w:p w14:paraId="65C22E78"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657D90C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No contingent liabilities being tracked.</w:t>
            </w:r>
          </w:p>
        </w:tc>
        <w:tc>
          <w:tcPr>
            <w:tcW w:w="785" w:type="pct"/>
            <w:tcBorders>
              <w:top w:val="nil"/>
              <w:left w:val="nil"/>
              <w:bottom w:val="single" w:sz="4" w:space="0" w:color="auto"/>
              <w:right w:val="single" w:sz="4" w:space="0" w:color="auto"/>
            </w:tcBorders>
            <w:shd w:val="clear" w:color="auto" w:fill="auto"/>
            <w:hideMark/>
          </w:tcPr>
          <w:p w14:paraId="1D2709D1"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Explicit contingent liabilities (including PPPs) arising from central government programs/projects are quantified and information is collected by a central agency.</w:t>
            </w:r>
          </w:p>
        </w:tc>
        <w:tc>
          <w:tcPr>
            <w:tcW w:w="785" w:type="pct"/>
            <w:tcBorders>
              <w:top w:val="nil"/>
              <w:left w:val="nil"/>
              <w:bottom w:val="single" w:sz="4" w:space="0" w:color="auto"/>
              <w:right w:val="single" w:sz="4" w:space="0" w:color="auto"/>
            </w:tcBorders>
            <w:shd w:val="clear" w:color="auto" w:fill="auto"/>
            <w:hideMark/>
          </w:tcPr>
          <w:p w14:paraId="7DB05843"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Explicit contingent liabilities (including PPPs) arising from central government programs/projects are quantified and consolidated into an annual report.</w:t>
            </w:r>
          </w:p>
        </w:tc>
      </w:tr>
      <w:tr w:rsidR="004961D6" w:rsidRPr="004961D6" w14:paraId="46417904"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62E88897" w14:textId="77777777" w:rsidR="004961D6" w:rsidRPr="004961D6" w:rsidRDefault="004961D6" w:rsidP="004961D6">
            <w:pPr>
              <w:outlineLvl w:val="0"/>
              <w:rPr>
                <w:rFonts w:ascii="Calibri" w:eastAsia="Times New Roman" w:hAnsi="Calibri"/>
                <w:b/>
                <w:bCs/>
                <w:color w:val="5F5F5F"/>
                <w:sz w:val="18"/>
                <w:szCs w:val="20"/>
              </w:rPr>
            </w:pPr>
            <w:r w:rsidRPr="004961D6">
              <w:rPr>
                <w:rFonts w:ascii="Calibri" w:eastAsia="Times New Roman" w:hAnsi="Calibri"/>
                <w:b/>
                <w:bCs/>
                <w:color w:val="5F5F5F"/>
                <w:sz w:val="18"/>
                <w:szCs w:val="20"/>
              </w:rPr>
              <w:t xml:space="preserve">Upgraded PEFA: PI-4 Classification of the budget </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DCCFD13"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D</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C156AD1"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2CAF8E26"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A</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65ED0073"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503721E7"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6E1C8ADC"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580801FF"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61083A75"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58CC5F13"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PI-4 (i) Extent to which the classification system used for formulation, execution and reporting of the central government’s budget is </w:t>
            </w:r>
            <w:r w:rsidRPr="004961D6">
              <w:rPr>
                <w:rFonts w:ascii="Calibri" w:eastAsia="Times New Roman" w:hAnsi="Calibri"/>
                <w:color w:val="000000"/>
                <w:sz w:val="18"/>
                <w:szCs w:val="20"/>
              </w:rPr>
              <w:lastRenderedPageBreak/>
              <w:t>consistent with international standards.</w:t>
            </w:r>
          </w:p>
        </w:tc>
        <w:tc>
          <w:tcPr>
            <w:tcW w:w="329" w:type="pct"/>
            <w:tcBorders>
              <w:top w:val="nil"/>
              <w:left w:val="nil"/>
              <w:bottom w:val="single" w:sz="4" w:space="0" w:color="auto"/>
              <w:right w:val="single" w:sz="4" w:space="0" w:color="auto"/>
            </w:tcBorders>
            <w:shd w:val="clear" w:color="auto" w:fill="auto"/>
            <w:noWrap/>
            <w:hideMark/>
          </w:tcPr>
          <w:p w14:paraId="336846D3"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lastRenderedPageBreak/>
              <w:t>D</w:t>
            </w:r>
          </w:p>
        </w:tc>
        <w:tc>
          <w:tcPr>
            <w:tcW w:w="329" w:type="pct"/>
            <w:tcBorders>
              <w:top w:val="nil"/>
              <w:left w:val="nil"/>
              <w:bottom w:val="single" w:sz="4" w:space="0" w:color="auto"/>
              <w:right w:val="single" w:sz="4" w:space="0" w:color="auto"/>
            </w:tcBorders>
            <w:shd w:val="clear" w:color="auto" w:fill="auto"/>
            <w:noWrap/>
            <w:hideMark/>
          </w:tcPr>
          <w:p w14:paraId="4271EE36"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27CC5420"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64C4268A"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540770F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Downgraded from  2013 due to comparability of budgets and accounts and application to current and capital budgets. </w:t>
            </w:r>
          </w:p>
        </w:tc>
        <w:tc>
          <w:tcPr>
            <w:tcW w:w="785" w:type="pct"/>
            <w:tcBorders>
              <w:top w:val="nil"/>
              <w:left w:val="nil"/>
              <w:bottom w:val="single" w:sz="4" w:space="0" w:color="auto"/>
              <w:right w:val="single" w:sz="4" w:space="0" w:color="auto"/>
            </w:tcBorders>
            <w:shd w:val="clear" w:color="auto" w:fill="auto"/>
            <w:hideMark/>
          </w:tcPr>
          <w:p w14:paraId="3C84D49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Budget formulation, execution and reporting is based on administrative, economic (at least level 3 of the GFS standard – 3 </w:t>
            </w:r>
            <w:r w:rsidRPr="004961D6">
              <w:rPr>
                <w:rFonts w:ascii="Calibri" w:eastAsia="Times New Roman" w:hAnsi="Calibri"/>
                <w:color w:val="000000"/>
                <w:sz w:val="18"/>
                <w:szCs w:val="20"/>
              </w:rPr>
              <w:lastRenderedPageBreak/>
              <w:t>digits) and full functional/sub-functional classification, using GFS/COFOG standards or a classification that can produce consistent documentation according to those standards.</w:t>
            </w:r>
          </w:p>
        </w:tc>
        <w:tc>
          <w:tcPr>
            <w:tcW w:w="785" w:type="pct"/>
            <w:tcBorders>
              <w:top w:val="nil"/>
              <w:left w:val="nil"/>
              <w:bottom w:val="single" w:sz="4" w:space="0" w:color="auto"/>
              <w:right w:val="single" w:sz="4" w:space="0" w:color="auto"/>
            </w:tcBorders>
            <w:shd w:val="clear" w:color="auto" w:fill="auto"/>
            <w:hideMark/>
          </w:tcPr>
          <w:p w14:paraId="4EDBCB0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 xml:space="preserve">Budget formulation, execution and reporting is based on ALL levels of administrative, economic and functional classification </w:t>
            </w:r>
            <w:r w:rsidRPr="004961D6">
              <w:rPr>
                <w:rFonts w:ascii="Calibri" w:eastAsia="Times New Roman" w:hAnsi="Calibri"/>
                <w:color w:val="000000"/>
                <w:sz w:val="18"/>
                <w:szCs w:val="20"/>
              </w:rPr>
              <w:lastRenderedPageBreak/>
              <w:t>using GFS/COFOG standards, or a classification that can produce consistent documentation according to those standards and is fully consistent with all classifications used for reporting financial information. Program classification may substitute for sub-functional classification, if it is applied with a level of detail at least corresponding to sub-functional classification.</w:t>
            </w:r>
          </w:p>
        </w:tc>
      </w:tr>
      <w:tr w:rsidR="004961D6" w:rsidRPr="004961D6" w14:paraId="3A8EA971"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13B78AD3" w14:textId="77777777" w:rsidR="004961D6" w:rsidRPr="004961D6" w:rsidRDefault="004961D6" w:rsidP="004961D6">
            <w:pPr>
              <w:rPr>
                <w:rFonts w:ascii="Calibri" w:eastAsia="Times New Roman" w:hAnsi="Calibri"/>
                <w:b/>
                <w:bCs/>
                <w:color w:val="5F5F5F"/>
                <w:sz w:val="18"/>
                <w:szCs w:val="20"/>
              </w:rPr>
            </w:pPr>
            <w:r w:rsidRPr="004961D6">
              <w:rPr>
                <w:rFonts w:ascii="Calibri" w:eastAsia="Times New Roman" w:hAnsi="Calibri"/>
                <w:b/>
                <w:bCs/>
                <w:color w:val="5F5F5F"/>
                <w:sz w:val="18"/>
                <w:szCs w:val="20"/>
              </w:rPr>
              <w:lastRenderedPageBreak/>
              <w:t>Upgraded PEFA: PI-5: Comprehensiveness of information included in budget documentation</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3557ED9"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D</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1EFF52C"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6D9D3E25"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A</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4466153E"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1B49C969"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78C08B78"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0DB381FE"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6D0D7992" w14:textId="77777777" w:rsidTr="004961D6">
        <w:trPr>
          <w:trHeight w:val="20"/>
        </w:trPr>
        <w:tc>
          <w:tcPr>
            <w:tcW w:w="874" w:type="pct"/>
            <w:tcBorders>
              <w:top w:val="nil"/>
              <w:left w:val="single" w:sz="4" w:space="0" w:color="auto"/>
              <w:bottom w:val="single" w:sz="4" w:space="0" w:color="auto"/>
              <w:right w:val="nil"/>
            </w:tcBorders>
            <w:shd w:val="clear" w:color="auto" w:fill="auto"/>
            <w:hideMark/>
          </w:tcPr>
          <w:p w14:paraId="0E07286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PI-5 (i) Share of the above listed information in the executive’s annual budget proposals most recently issued by the central government (in order to count in the assessment, the full specification of the information </w:t>
            </w:r>
            <w:r w:rsidRPr="004961D6">
              <w:rPr>
                <w:rFonts w:ascii="Calibri" w:eastAsia="Times New Roman" w:hAnsi="Calibri"/>
                <w:color w:val="000000"/>
                <w:sz w:val="18"/>
                <w:szCs w:val="20"/>
              </w:rPr>
              <w:lastRenderedPageBreak/>
              <w:t>benchmark must be met).</w:t>
            </w:r>
          </w:p>
        </w:tc>
        <w:tc>
          <w:tcPr>
            <w:tcW w:w="329" w:type="pct"/>
            <w:tcBorders>
              <w:top w:val="nil"/>
              <w:left w:val="single" w:sz="4" w:space="0" w:color="auto"/>
              <w:bottom w:val="single" w:sz="4" w:space="0" w:color="auto"/>
              <w:right w:val="single" w:sz="4" w:space="0" w:color="auto"/>
            </w:tcBorders>
            <w:shd w:val="clear" w:color="auto" w:fill="auto"/>
            <w:noWrap/>
            <w:hideMark/>
          </w:tcPr>
          <w:p w14:paraId="43A67EF1"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lastRenderedPageBreak/>
              <w:t>D</w:t>
            </w:r>
          </w:p>
        </w:tc>
        <w:tc>
          <w:tcPr>
            <w:tcW w:w="329" w:type="pct"/>
            <w:tcBorders>
              <w:top w:val="nil"/>
              <w:left w:val="nil"/>
              <w:bottom w:val="single" w:sz="4" w:space="0" w:color="auto"/>
              <w:right w:val="single" w:sz="4" w:space="0" w:color="auto"/>
            </w:tcBorders>
            <w:shd w:val="clear" w:color="auto" w:fill="auto"/>
            <w:noWrap/>
            <w:hideMark/>
          </w:tcPr>
          <w:p w14:paraId="6560B6DE"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4A546240"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224A17E7"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0F83CCEA"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Downgraded from  2013 due to incomplete basic elements of the budget disclosures.</w:t>
            </w:r>
          </w:p>
        </w:tc>
        <w:tc>
          <w:tcPr>
            <w:tcW w:w="785" w:type="pct"/>
            <w:tcBorders>
              <w:top w:val="nil"/>
              <w:left w:val="nil"/>
              <w:bottom w:val="single" w:sz="4" w:space="0" w:color="auto"/>
              <w:right w:val="single" w:sz="4" w:space="0" w:color="auto"/>
            </w:tcBorders>
            <w:shd w:val="clear" w:color="auto" w:fill="auto"/>
            <w:hideMark/>
          </w:tcPr>
          <w:p w14:paraId="4E58F83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Budget documentation fulfills all basic elements (1-4) and at least 3 of the additional elements (e.g. Fiscal Risks from PPPs etc).</w:t>
            </w:r>
          </w:p>
        </w:tc>
        <w:tc>
          <w:tcPr>
            <w:tcW w:w="785" w:type="pct"/>
            <w:tcBorders>
              <w:top w:val="nil"/>
              <w:left w:val="nil"/>
              <w:bottom w:val="single" w:sz="4" w:space="0" w:color="auto"/>
              <w:right w:val="single" w:sz="4" w:space="0" w:color="auto"/>
            </w:tcBorders>
            <w:shd w:val="clear" w:color="auto" w:fill="auto"/>
            <w:hideMark/>
          </w:tcPr>
          <w:p w14:paraId="4637FDB9" w14:textId="02CF693D"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Budget documentation fulfills all basic elements (1-4) and at least 6 of the additional elements (e.g. Fiscal Risks and contingent </w:t>
            </w:r>
            <w:r w:rsidR="004B36B2" w:rsidRPr="004961D6">
              <w:rPr>
                <w:rFonts w:ascii="Calibri" w:eastAsia="Times New Roman" w:hAnsi="Calibri"/>
                <w:color w:val="000000"/>
                <w:sz w:val="18"/>
                <w:szCs w:val="20"/>
              </w:rPr>
              <w:t>liabilities</w:t>
            </w:r>
            <w:r w:rsidRPr="004961D6">
              <w:rPr>
                <w:rFonts w:ascii="Calibri" w:eastAsia="Times New Roman" w:hAnsi="Calibri"/>
                <w:color w:val="000000"/>
                <w:sz w:val="18"/>
                <w:szCs w:val="20"/>
              </w:rPr>
              <w:t xml:space="preserve"> from PPPs etc).</w:t>
            </w:r>
          </w:p>
        </w:tc>
      </w:tr>
      <w:tr w:rsidR="004961D6" w:rsidRPr="004961D6" w14:paraId="249957C6"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hideMark/>
          </w:tcPr>
          <w:p w14:paraId="38FDCE4D" w14:textId="77777777" w:rsidR="004961D6" w:rsidRPr="004961D6" w:rsidRDefault="004961D6" w:rsidP="004961D6">
            <w:pPr>
              <w:outlineLvl w:val="0"/>
              <w:rPr>
                <w:rFonts w:ascii="Calibri" w:eastAsia="Times New Roman" w:hAnsi="Calibri"/>
                <w:b/>
                <w:bCs/>
                <w:color w:val="5F5F5F"/>
                <w:sz w:val="18"/>
                <w:szCs w:val="20"/>
              </w:rPr>
            </w:pPr>
            <w:r w:rsidRPr="004961D6">
              <w:rPr>
                <w:rFonts w:ascii="Calibri" w:eastAsia="Times New Roman" w:hAnsi="Calibri"/>
                <w:b/>
                <w:bCs/>
                <w:color w:val="5F5F5F"/>
                <w:sz w:val="18"/>
                <w:szCs w:val="20"/>
              </w:rPr>
              <w:lastRenderedPageBreak/>
              <w:t xml:space="preserve">Upgraded PEFA: PI-23 Transparency, competition and complaints mechanisms in procurement </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7BE027FA"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D</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616A9103"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C</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504A0F35" w14:textId="77777777" w:rsidR="004961D6" w:rsidRPr="004961D6" w:rsidRDefault="004961D6" w:rsidP="004961D6">
            <w:pPr>
              <w:jc w:val="center"/>
              <w:outlineLvl w:val="0"/>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44364C68"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721DF7B0"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02B406D7"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4F7708CC" w14:textId="77777777" w:rsidR="004961D6" w:rsidRPr="004961D6" w:rsidRDefault="004961D6" w:rsidP="004961D6">
            <w:pPr>
              <w:outlineLvl w:val="0"/>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0E003446"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29C9135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P23 (i) Monitoring the efficiency and effectiveness of the procurement system</w:t>
            </w:r>
          </w:p>
        </w:tc>
        <w:tc>
          <w:tcPr>
            <w:tcW w:w="329" w:type="pct"/>
            <w:tcBorders>
              <w:top w:val="nil"/>
              <w:left w:val="nil"/>
              <w:bottom w:val="single" w:sz="4" w:space="0" w:color="auto"/>
              <w:right w:val="single" w:sz="4" w:space="0" w:color="auto"/>
            </w:tcBorders>
            <w:shd w:val="clear" w:color="auto" w:fill="auto"/>
            <w:noWrap/>
            <w:hideMark/>
          </w:tcPr>
          <w:p w14:paraId="21F86E64"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52AFAE1F"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38B7B327"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785" w:type="pct"/>
            <w:tcBorders>
              <w:top w:val="nil"/>
              <w:left w:val="nil"/>
              <w:bottom w:val="single" w:sz="4" w:space="0" w:color="auto"/>
              <w:right w:val="single" w:sz="4" w:space="0" w:color="auto"/>
            </w:tcBorders>
            <w:shd w:val="clear" w:color="auto" w:fill="auto"/>
            <w:hideMark/>
          </w:tcPr>
          <w:p w14:paraId="7A60BB7A"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“C” rating or higher are not met.</w:t>
            </w:r>
          </w:p>
        </w:tc>
        <w:tc>
          <w:tcPr>
            <w:tcW w:w="785" w:type="pct"/>
            <w:tcBorders>
              <w:top w:val="nil"/>
              <w:left w:val="nil"/>
              <w:bottom w:val="single" w:sz="4" w:space="0" w:color="auto"/>
              <w:right w:val="single" w:sz="4" w:space="0" w:color="auto"/>
            </w:tcBorders>
            <w:shd w:val="clear" w:color="auto" w:fill="auto"/>
            <w:hideMark/>
          </w:tcPr>
          <w:p w14:paraId="6C052F21" w14:textId="79D919A8"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WB contract database not </w:t>
            </w:r>
            <w:r w:rsidR="004B36B2" w:rsidRPr="004961D6">
              <w:rPr>
                <w:rFonts w:ascii="Calibri" w:eastAsia="Times New Roman" w:hAnsi="Calibri"/>
                <w:color w:val="000000"/>
                <w:sz w:val="18"/>
                <w:szCs w:val="20"/>
              </w:rPr>
              <w:t>comprehensive</w:t>
            </w:r>
            <w:r w:rsidRPr="004961D6">
              <w:rPr>
                <w:rFonts w:ascii="Calibri" w:eastAsia="Times New Roman" w:hAnsi="Calibri"/>
                <w:color w:val="000000"/>
                <w:sz w:val="18"/>
                <w:szCs w:val="20"/>
              </w:rPr>
              <w:t xml:space="preserve">. </w:t>
            </w:r>
            <w:r w:rsidR="006D0F85" w:rsidRPr="004961D6">
              <w:rPr>
                <w:rFonts w:ascii="Calibri" w:eastAsia="Times New Roman" w:hAnsi="Calibri"/>
                <w:color w:val="000000"/>
                <w:sz w:val="18"/>
                <w:szCs w:val="20"/>
              </w:rPr>
              <w:t>E-Procurement</w:t>
            </w:r>
            <w:r w:rsidRPr="004961D6">
              <w:rPr>
                <w:rFonts w:ascii="Calibri" w:eastAsia="Times New Roman" w:hAnsi="Calibri"/>
                <w:color w:val="000000"/>
                <w:sz w:val="18"/>
                <w:szCs w:val="20"/>
              </w:rPr>
              <w:t xml:space="preserve"> </w:t>
            </w:r>
            <w:r w:rsidR="006D0F85" w:rsidRPr="004961D6">
              <w:rPr>
                <w:rFonts w:ascii="Calibri" w:eastAsia="Times New Roman" w:hAnsi="Calibri"/>
                <w:color w:val="000000"/>
                <w:sz w:val="18"/>
                <w:szCs w:val="20"/>
              </w:rPr>
              <w:t>does not</w:t>
            </w:r>
            <w:r w:rsidRPr="004961D6">
              <w:rPr>
                <w:rFonts w:ascii="Calibri" w:eastAsia="Times New Roman" w:hAnsi="Calibri"/>
                <w:color w:val="000000"/>
                <w:sz w:val="18"/>
                <w:szCs w:val="20"/>
              </w:rPr>
              <w:t xml:space="preserve"> cover. </w:t>
            </w:r>
          </w:p>
        </w:tc>
        <w:tc>
          <w:tcPr>
            <w:tcW w:w="785" w:type="pct"/>
            <w:tcBorders>
              <w:top w:val="nil"/>
              <w:left w:val="nil"/>
              <w:bottom w:val="single" w:sz="4" w:space="0" w:color="auto"/>
              <w:right w:val="single" w:sz="4" w:space="0" w:color="auto"/>
            </w:tcBorders>
            <w:shd w:val="clear" w:color="auto" w:fill="auto"/>
            <w:hideMark/>
          </w:tcPr>
          <w:p w14:paraId="1DEDEFEA"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Databases (or records) are maintained for contracts representing at least 50% of expenditure on goods, services and works, including both data elements above. Analysis of this data is made available to management ad hoc.</w:t>
            </w:r>
          </w:p>
        </w:tc>
        <w:tc>
          <w:tcPr>
            <w:tcW w:w="785" w:type="pct"/>
            <w:tcBorders>
              <w:top w:val="nil"/>
              <w:left w:val="nil"/>
              <w:bottom w:val="single" w:sz="4" w:space="0" w:color="auto"/>
              <w:right w:val="single" w:sz="4" w:space="0" w:color="auto"/>
            </w:tcBorders>
            <w:shd w:val="clear" w:color="auto" w:fill="auto"/>
            <w:hideMark/>
          </w:tcPr>
          <w:p w14:paraId="4C199F47"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Databases (or records) are maintained for contracts representing at least 75% of value of procurement of goods, services and works, including both data elements above. Analysis of this data is made available to management at least annually.</w:t>
            </w:r>
          </w:p>
        </w:tc>
      </w:tr>
      <w:tr w:rsidR="004961D6" w:rsidRPr="004961D6" w14:paraId="63B5999C"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38E20DDD" w14:textId="77777777" w:rsidR="004961D6" w:rsidRPr="004961D6" w:rsidRDefault="004961D6" w:rsidP="004961D6">
            <w:pPr>
              <w:rPr>
                <w:rFonts w:ascii="Calibri" w:eastAsia="Times New Roman" w:hAnsi="Calibri"/>
                <w:b/>
                <w:bCs/>
                <w:color w:val="5F5F5F"/>
                <w:sz w:val="18"/>
                <w:szCs w:val="20"/>
              </w:rPr>
            </w:pPr>
            <w:r w:rsidRPr="004961D6">
              <w:rPr>
                <w:rFonts w:ascii="Calibri" w:eastAsia="Times New Roman" w:hAnsi="Calibri"/>
                <w:b/>
                <w:bCs/>
                <w:color w:val="5F5F5F"/>
                <w:sz w:val="18"/>
                <w:szCs w:val="20"/>
              </w:rPr>
              <w:t>Upgraded PEFA: PI-8: Performance information for achieving efficiency in service delivery</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533AA61C"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D+</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C035D50"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781F7111"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A</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6941A36B"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16271EA9"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75CFE44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4374678E"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6FB03191"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48D2EC8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PI-8 (i) Disclosure of annual performance targets for service delivery</w:t>
            </w:r>
          </w:p>
        </w:tc>
        <w:tc>
          <w:tcPr>
            <w:tcW w:w="329" w:type="pct"/>
            <w:tcBorders>
              <w:top w:val="nil"/>
              <w:left w:val="nil"/>
              <w:bottom w:val="single" w:sz="4" w:space="0" w:color="auto"/>
              <w:right w:val="single" w:sz="4" w:space="0" w:color="auto"/>
            </w:tcBorders>
            <w:shd w:val="clear" w:color="auto" w:fill="auto"/>
            <w:noWrap/>
            <w:hideMark/>
          </w:tcPr>
          <w:p w14:paraId="5EC81436"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3CBC456B"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1DBFDFA2"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64F3017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Performance targets are presented for 10-25% of service delivery functions OR coverage is more than 25% but with deficiencies in the format or definition of the targets (outputs) or in the methods of measurement.</w:t>
            </w:r>
          </w:p>
        </w:tc>
        <w:tc>
          <w:tcPr>
            <w:tcW w:w="785" w:type="pct"/>
            <w:tcBorders>
              <w:top w:val="nil"/>
              <w:left w:val="nil"/>
              <w:bottom w:val="single" w:sz="4" w:space="0" w:color="auto"/>
              <w:right w:val="single" w:sz="4" w:space="0" w:color="auto"/>
            </w:tcBorders>
            <w:shd w:val="clear" w:color="auto" w:fill="auto"/>
            <w:hideMark/>
          </w:tcPr>
          <w:p w14:paraId="598B6A13"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Different to PI23.</w:t>
            </w:r>
          </w:p>
        </w:tc>
        <w:tc>
          <w:tcPr>
            <w:tcW w:w="785" w:type="pct"/>
            <w:tcBorders>
              <w:top w:val="nil"/>
              <w:left w:val="nil"/>
              <w:bottom w:val="single" w:sz="4" w:space="0" w:color="auto"/>
              <w:right w:val="single" w:sz="4" w:space="0" w:color="auto"/>
            </w:tcBorders>
            <w:shd w:val="clear" w:color="auto" w:fill="auto"/>
            <w:hideMark/>
          </w:tcPr>
          <w:p w14:paraId="547137D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Performance targets are presented in a format which is clear about what is being measured (outputs) and how it is to be measured (method of calculation and data sources) for 25-50% of service delivery functions.</w:t>
            </w:r>
          </w:p>
        </w:tc>
        <w:tc>
          <w:tcPr>
            <w:tcW w:w="785" w:type="pct"/>
            <w:tcBorders>
              <w:top w:val="nil"/>
              <w:left w:val="nil"/>
              <w:bottom w:val="single" w:sz="4" w:space="0" w:color="auto"/>
              <w:right w:val="single" w:sz="4" w:space="0" w:color="auto"/>
            </w:tcBorders>
            <w:shd w:val="clear" w:color="auto" w:fill="auto"/>
            <w:hideMark/>
          </w:tcPr>
          <w:p w14:paraId="16770965"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Performance targets are presented in a format which is clear about what is being measured (outputs) and how it is to be measured (method of calculation and data sources) for more than 50% of service delivery functions.</w:t>
            </w:r>
          </w:p>
        </w:tc>
      </w:tr>
      <w:tr w:rsidR="004961D6" w:rsidRPr="004961D6" w14:paraId="121D9FBF"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556A8BA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PI-8 (ii) Disclosure of data on </w:t>
            </w:r>
            <w:r w:rsidRPr="004961D6">
              <w:rPr>
                <w:rFonts w:ascii="Calibri" w:eastAsia="Times New Roman" w:hAnsi="Calibri"/>
                <w:color w:val="000000"/>
                <w:sz w:val="18"/>
                <w:szCs w:val="20"/>
              </w:rPr>
              <w:lastRenderedPageBreak/>
              <w:t>performance results achieved by service</w:t>
            </w:r>
          </w:p>
        </w:tc>
        <w:tc>
          <w:tcPr>
            <w:tcW w:w="329" w:type="pct"/>
            <w:tcBorders>
              <w:top w:val="nil"/>
              <w:left w:val="nil"/>
              <w:bottom w:val="single" w:sz="4" w:space="0" w:color="auto"/>
              <w:right w:val="single" w:sz="4" w:space="0" w:color="auto"/>
            </w:tcBorders>
            <w:shd w:val="clear" w:color="auto" w:fill="auto"/>
            <w:noWrap/>
            <w:hideMark/>
          </w:tcPr>
          <w:p w14:paraId="737B4E04"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lastRenderedPageBreak/>
              <w:t>C</w:t>
            </w:r>
          </w:p>
        </w:tc>
        <w:tc>
          <w:tcPr>
            <w:tcW w:w="329" w:type="pct"/>
            <w:tcBorders>
              <w:top w:val="nil"/>
              <w:left w:val="nil"/>
              <w:bottom w:val="single" w:sz="4" w:space="0" w:color="auto"/>
              <w:right w:val="single" w:sz="4" w:space="0" w:color="auto"/>
            </w:tcBorders>
            <w:shd w:val="clear" w:color="auto" w:fill="auto"/>
            <w:noWrap/>
            <w:hideMark/>
          </w:tcPr>
          <w:p w14:paraId="5C6CE7F0"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590ABF06"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0C4F250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Performance targets are </w:t>
            </w:r>
            <w:r w:rsidRPr="004961D6">
              <w:rPr>
                <w:rFonts w:ascii="Calibri" w:eastAsia="Times New Roman" w:hAnsi="Calibri"/>
                <w:color w:val="000000"/>
                <w:sz w:val="18"/>
                <w:szCs w:val="20"/>
              </w:rPr>
              <w:lastRenderedPageBreak/>
              <w:t>presented for 10-25% of service delivery functions OR coverage is more than 25% but with deficiencies in the format or definition of the targets (outputs) or in the methods of measurement.</w:t>
            </w:r>
          </w:p>
        </w:tc>
        <w:tc>
          <w:tcPr>
            <w:tcW w:w="785" w:type="pct"/>
            <w:tcBorders>
              <w:top w:val="nil"/>
              <w:left w:val="nil"/>
              <w:bottom w:val="single" w:sz="4" w:space="0" w:color="auto"/>
              <w:right w:val="single" w:sz="4" w:space="0" w:color="auto"/>
            </w:tcBorders>
            <w:shd w:val="clear" w:color="auto" w:fill="auto"/>
            <w:hideMark/>
          </w:tcPr>
          <w:p w14:paraId="534CE4F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Different to PI23.</w:t>
            </w:r>
          </w:p>
        </w:tc>
        <w:tc>
          <w:tcPr>
            <w:tcW w:w="785" w:type="pct"/>
            <w:tcBorders>
              <w:top w:val="nil"/>
              <w:left w:val="nil"/>
              <w:bottom w:val="single" w:sz="4" w:space="0" w:color="auto"/>
              <w:right w:val="single" w:sz="4" w:space="0" w:color="auto"/>
            </w:tcBorders>
            <w:shd w:val="clear" w:color="auto" w:fill="auto"/>
            <w:hideMark/>
          </w:tcPr>
          <w:p w14:paraId="47F9E7D9"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Performance targets are </w:t>
            </w:r>
            <w:r w:rsidRPr="004961D6">
              <w:rPr>
                <w:rFonts w:ascii="Calibri" w:eastAsia="Times New Roman" w:hAnsi="Calibri"/>
                <w:color w:val="000000"/>
                <w:sz w:val="18"/>
                <w:szCs w:val="20"/>
              </w:rPr>
              <w:lastRenderedPageBreak/>
              <w:t>presented in a format which is clear about what is being measured (outputs) and how it is to be measured (method of calculation and data sources) for 25-50% of service delivery functions.</w:t>
            </w:r>
          </w:p>
        </w:tc>
        <w:tc>
          <w:tcPr>
            <w:tcW w:w="785" w:type="pct"/>
            <w:tcBorders>
              <w:top w:val="nil"/>
              <w:left w:val="nil"/>
              <w:bottom w:val="single" w:sz="4" w:space="0" w:color="auto"/>
              <w:right w:val="single" w:sz="4" w:space="0" w:color="auto"/>
            </w:tcBorders>
            <w:shd w:val="clear" w:color="auto" w:fill="auto"/>
            <w:hideMark/>
          </w:tcPr>
          <w:p w14:paraId="5940482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 xml:space="preserve">Performance targets are </w:t>
            </w:r>
            <w:r w:rsidRPr="004961D6">
              <w:rPr>
                <w:rFonts w:ascii="Calibri" w:eastAsia="Times New Roman" w:hAnsi="Calibri"/>
                <w:color w:val="000000"/>
                <w:sz w:val="18"/>
                <w:szCs w:val="20"/>
              </w:rPr>
              <w:lastRenderedPageBreak/>
              <w:t>presented in a format which is clear about what is being measured (outputs) and how it is to be measured (method of calculation and data sources) for more than 50% of service delivery functions.</w:t>
            </w:r>
          </w:p>
        </w:tc>
      </w:tr>
      <w:tr w:rsidR="004961D6" w:rsidRPr="004961D6" w14:paraId="14910083"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15861B1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PI-8 (iii) Monitoring of resources received by service delivery units</w:t>
            </w:r>
          </w:p>
        </w:tc>
        <w:tc>
          <w:tcPr>
            <w:tcW w:w="329" w:type="pct"/>
            <w:tcBorders>
              <w:top w:val="nil"/>
              <w:left w:val="nil"/>
              <w:bottom w:val="single" w:sz="4" w:space="0" w:color="auto"/>
              <w:right w:val="single" w:sz="4" w:space="0" w:color="auto"/>
            </w:tcBorders>
            <w:shd w:val="clear" w:color="auto" w:fill="auto"/>
            <w:noWrap/>
            <w:hideMark/>
          </w:tcPr>
          <w:p w14:paraId="54CAC7E7"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0263D4BE"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4AE53F1C"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57B2F6F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A system exists, for less than 25% of service delivery functions, that monitors if resources have reached service delivery units as planned.</w:t>
            </w:r>
          </w:p>
        </w:tc>
        <w:tc>
          <w:tcPr>
            <w:tcW w:w="785" w:type="pct"/>
            <w:tcBorders>
              <w:top w:val="nil"/>
              <w:left w:val="nil"/>
              <w:bottom w:val="single" w:sz="4" w:space="0" w:color="auto"/>
              <w:right w:val="single" w:sz="4" w:space="0" w:color="auto"/>
            </w:tcBorders>
            <w:shd w:val="clear" w:color="auto" w:fill="auto"/>
            <w:hideMark/>
          </w:tcPr>
          <w:p w14:paraId="07B8E10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Same score for PI23</w:t>
            </w:r>
          </w:p>
        </w:tc>
        <w:tc>
          <w:tcPr>
            <w:tcW w:w="785" w:type="pct"/>
            <w:tcBorders>
              <w:top w:val="nil"/>
              <w:left w:val="nil"/>
              <w:bottom w:val="single" w:sz="4" w:space="0" w:color="auto"/>
              <w:right w:val="single" w:sz="4" w:space="0" w:color="auto"/>
            </w:tcBorders>
            <w:shd w:val="clear" w:color="auto" w:fill="auto"/>
            <w:hideMark/>
          </w:tcPr>
          <w:p w14:paraId="5A9EBDE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A system exists, for 25-50% of service delivery functions, that monitors if resources have reached service delivery units as planned.</w:t>
            </w:r>
          </w:p>
        </w:tc>
        <w:tc>
          <w:tcPr>
            <w:tcW w:w="785" w:type="pct"/>
            <w:tcBorders>
              <w:top w:val="nil"/>
              <w:left w:val="nil"/>
              <w:bottom w:val="single" w:sz="4" w:space="0" w:color="auto"/>
              <w:right w:val="single" w:sz="4" w:space="0" w:color="auto"/>
            </w:tcBorders>
            <w:shd w:val="clear" w:color="auto" w:fill="auto"/>
            <w:hideMark/>
          </w:tcPr>
          <w:p w14:paraId="16E97097"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A system exists, in more than 50% of service delivery functions, that monitors if resources have reached service delivery units as planned</w:t>
            </w:r>
          </w:p>
        </w:tc>
      </w:tr>
      <w:tr w:rsidR="004961D6" w:rsidRPr="004961D6" w14:paraId="5BDC146C"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19CD6926"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PI-8 (iv) Content and coverage of independent performance evaluations</w:t>
            </w:r>
          </w:p>
        </w:tc>
        <w:tc>
          <w:tcPr>
            <w:tcW w:w="329" w:type="pct"/>
            <w:tcBorders>
              <w:top w:val="nil"/>
              <w:left w:val="nil"/>
              <w:bottom w:val="single" w:sz="4" w:space="0" w:color="auto"/>
              <w:right w:val="single" w:sz="4" w:space="0" w:color="auto"/>
            </w:tcBorders>
            <w:shd w:val="clear" w:color="auto" w:fill="auto"/>
            <w:noWrap/>
            <w:hideMark/>
          </w:tcPr>
          <w:p w14:paraId="78479C2F"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6E3FBEEB"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1E8C235A"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0134EF6B"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66D1866E" w14:textId="18BA3054"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Different to PI23. Indep</w:t>
            </w:r>
            <w:r w:rsidR="006D0F85">
              <w:rPr>
                <w:rFonts w:ascii="Calibri" w:eastAsia="Times New Roman" w:hAnsi="Calibri"/>
                <w:color w:val="000000"/>
                <w:sz w:val="18"/>
                <w:szCs w:val="20"/>
              </w:rPr>
              <w:t>end</w:t>
            </w:r>
            <w:r w:rsidRPr="004961D6">
              <w:rPr>
                <w:rFonts w:ascii="Calibri" w:eastAsia="Times New Roman" w:hAnsi="Calibri"/>
                <w:color w:val="000000"/>
                <w:sz w:val="18"/>
                <w:szCs w:val="20"/>
              </w:rPr>
              <w:t xml:space="preserve">ence criteria not met. </w:t>
            </w:r>
          </w:p>
        </w:tc>
        <w:tc>
          <w:tcPr>
            <w:tcW w:w="785" w:type="pct"/>
            <w:tcBorders>
              <w:top w:val="nil"/>
              <w:left w:val="nil"/>
              <w:bottom w:val="single" w:sz="4" w:space="0" w:color="auto"/>
              <w:right w:val="single" w:sz="4" w:space="0" w:color="auto"/>
            </w:tcBorders>
            <w:shd w:val="clear" w:color="auto" w:fill="auto"/>
            <w:hideMark/>
          </w:tcPr>
          <w:p w14:paraId="0F1F0A66"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Independent performance evaluations for less than 25% of service delivery function have been undertaken in the last three financial years, and include recommendations for enhancing delivery.</w:t>
            </w:r>
          </w:p>
        </w:tc>
        <w:tc>
          <w:tcPr>
            <w:tcW w:w="785" w:type="pct"/>
            <w:tcBorders>
              <w:top w:val="nil"/>
              <w:left w:val="nil"/>
              <w:bottom w:val="single" w:sz="4" w:space="0" w:color="auto"/>
              <w:right w:val="single" w:sz="4" w:space="0" w:color="auto"/>
            </w:tcBorders>
            <w:shd w:val="clear" w:color="auto" w:fill="auto"/>
            <w:hideMark/>
          </w:tcPr>
          <w:p w14:paraId="34DEA13B"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Independent performance evaluations for more than 50% of service delivery functions have been undertaken in the last three financial years, and include recommendations for enhancing delivery.</w:t>
            </w:r>
          </w:p>
        </w:tc>
      </w:tr>
      <w:tr w:rsidR="004961D6" w:rsidRPr="004961D6" w14:paraId="3868CCB6"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250851B9" w14:textId="77777777" w:rsidR="004961D6" w:rsidRPr="004961D6" w:rsidRDefault="004961D6" w:rsidP="004961D6">
            <w:pPr>
              <w:rPr>
                <w:rFonts w:ascii="Calibri" w:eastAsia="Times New Roman" w:hAnsi="Calibri"/>
                <w:b/>
                <w:bCs/>
                <w:color w:val="5F5F5F"/>
                <w:sz w:val="18"/>
                <w:szCs w:val="20"/>
              </w:rPr>
            </w:pPr>
            <w:r w:rsidRPr="004961D6">
              <w:rPr>
                <w:rFonts w:ascii="Calibri" w:eastAsia="Times New Roman" w:hAnsi="Calibri"/>
                <w:b/>
                <w:bCs/>
                <w:color w:val="5F5F5F"/>
                <w:sz w:val="18"/>
                <w:szCs w:val="20"/>
              </w:rPr>
              <w:t>Upgraded PEFA: PI-13: Management and reporting of debt and expenditure arrears</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4B33DB8E"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C</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1F7ABD04"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42B2018B"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A</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41F20916"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7D5377CA"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062788AE"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35B33E46"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5E1D4A99"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27822E5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PI-13 (iv) Stock and monitoring of expenditure arrears</w:t>
            </w:r>
          </w:p>
        </w:tc>
        <w:tc>
          <w:tcPr>
            <w:tcW w:w="329" w:type="pct"/>
            <w:tcBorders>
              <w:top w:val="nil"/>
              <w:left w:val="nil"/>
              <w:bottom w:val="single" w:sz="4" w:space="0" w:color="auto"/>
              <w:right w:val="single" w:sz="4" w:space="0" w:color="auto"/>
            </w:tcBorders>
            <w:shd w:val="clear" w:color="auto" w:fill="auto"/>
            <w:noWrap/>
            <w:hideMark/>
          </w:tcPr>
          <w:p w14:paraId="4837CF36"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20153924"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693DCA7B"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028DB79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Data on the stock of arrears has been generated by at least one </w:t>
            </w:r>
            <w:r w:rsidRPr="004961D6">
              <w:rPr>
                <w:rFonts w:ascii="Calibri" w:eastAsia="Times New Roman" w:hAnsi="Calibri"/>
                <w:color w:val="000000"/>
                <w:sz w:val="18"/>
                <w:szCs w:val="20"/>
              </w:rPr>
              <w:lastRenderedPageBreak/>
              <w:t>comprehensive ad hoc exercise within the last two years.</w:t>
            </w:r>
          </w:p>
        </w:tc>
        <w:tc>
          <w:tcPr>
            <w:tcW w:w="785" w:type="pct"/>
            <w:tcBorders>
              <w:top w:val="nil"/>
              <w:left w:val="nil"/>
              <w:bottom w:val="single" w:sz="4" w:space="0" w:color="auto"/>
              <w:right w:val="single" w:sz="4" w:space="0" w:color="auto"/>
            </w:tcBorders>
            <w:shd w:val="clear" w:color="auto" w:fill="auto"/>
            <w:hideMark/>
          </w:tcPr>
          <w:p w14:paraId="11C7D1DA"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NR on PI4=D. Survey is now more than 2 years old.</w:t>
            </w:r>
          </w:p>
        </w:tc>
        <w:tc>
          <w:tcPr>
            <w:tcW w:w="785" w:type="pct"/>
            <w:tcBorders>
              <w:top w:val="nil"/>
              <w:left w:val="nil"/>
              <w:bottom w:val="single" w:sz="4" w:space="0" w:color="auto"/>
              <w:right w:val="single" w:sz="4" w:space="0" w:color="auto"/>
            </w:tcBorders>
            <w:shd w:val="clear" w:color="auto" w:fill="auto"/>
            <w:hideMark/>
          </w:tcPr>
          <w:p w14:paraId="39CA571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Data on the stock of arrears is generated annually, but may not be </w:t>
            </w:r>
            <w:r w:rsidRPr="004961D6">
              <w:rPr>
                <w:rFonts w:ascii="Calibri" w:eastAsia="Times New Roman" w:hAnsi="Calibri"/>
                <w:color w:val="000000"/>
                <w:sz w:val="18"/>
                <w:szCs w:val="20"/>
              </w:rPr>
              <w:lastRenderedPageBreak/>
              <w:t>complete for a few identified expenditure categories or specified budget institutions. This data demonstrates that the stock of arrears is no more than 10% of total expenditure.</w:t>
            </w:r>
          </w:p>
        </w:tc>
        <w:tc>
          <w:tcPr>
            <w:tcW w:w="785" w:type="pct"/>
            <w:tcBorders>
              <w:top w:val="nil"/>
              <w:left w:val="nil"/>
              <w:bottom w:val="single" w:sz="4" w:space="0" w:color="auto"/>
              <w:right w:val="single" w:sz="4" w:space="0" w:color="auto"/>
            </w:tcBorders>
            <w:shd w:val="clear" w:color="auto" w:fill="auto"/>
            <w:hideMark/>
          </w:tcPr>
          <w:p w14:paraId="227ADA81"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 xml:space="preserve">Complete data on the stock of arrears is generated at least at the end </w:t>
            </w:r>
            <w:r w:rsidRPr="004961D6">
              <w:rPr>
                <w:rFonts w:ascii="Calibri" w:eastAsia="Times New Roman" w:hAnsi="Calibri"/>
                <w:color w:val="000000"/>
                <w:sz w:val="18"/>
                <w:szCs w:val="20"/>
              </w:rPr>
              <w:lastRenderedPageBreak/>
              <w:t>of each fiscal year and includes an age profile - and demonstrates that the stock of arrears is no more than 2% of total expenditure.</w:t>
            </w:r>
          </w:p>
        </w:tc>
      </w:tr>
      <w:tr w:rsidR="004961D6" w:rsidRPr="004961D6" w14:paraId="01243A41" w14:textId="77777777" w:rsidTr="009F5DB4">
        <w:trPr>
          <w:trHeight w:val="20"/>
        </w:trPr>
        <w:tc>
          <w:tcPr>
            <w:tcW w:w="874"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24C3B137" w14:textId="77777777" w:rsidR="004961D6" w:rsidRPr="004961D6" w:rsidRDefault="004961D6" w:rsidP="004961D6">
            <w:pPr>
              <w:rPr>
                <w:rFonts w:ascii="Calibri" w:eastAsia="Times New Roman" w:hAnsi="Calibri"/>
                <w:b/>
                <w:bCs/>
                <w:color w:val="5F5F5F"/>
                <w:sz w:val="18"/>
                <w:szCs w:val="20"/>
              </w:rPr>
            </w:pPr>
            <w:r w:rsidRPr="004961D6">
              <w:rPr>
                <w:rFonts w:ascii="Calibri" w:eastAsia="Times New Roman" w:hAnsi="Calibri"/>
                <w:b/>
                <w:bCs/>
                <w:color w:val="5F5F5F"/>
                <w:sz w:val="18"/>
                <w:szCs w:val="20"/>
              </w:rPr>
              <w:lastRenderedPageBreak/>
              <w:t>Upgraded PEFA: PI-25: Effectiveness of internal audit</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02725876"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D+</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77B8534C"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B</w:t>
            </w:r>
          </w:p>
        </w:tc>
        <w:tc>
          <w:tcPr>
            <w:tcW w:w="329"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center"/>
            <w:hideMark/>
          </w:tcPr>
          <w:p w14:paraId="75607FCC" w14:textId="77777777" w:rsidR="004961D6" w:rsidRPr="004961D6" w:rsidRDefault="004961D6" w:rsidP="004961D6">
            <w:pPr>
              <w:jc w:val="center"/>
              <w:rPr>
                <w:rFonts w:ascii="Calibri" w:eastAsia="Times New Roman" w:hAnsi="Calibri"/>
                <w:b/>
                <w:bCs/>
                <w:color w:val="000000"/>
                <w:sz w:val="18"/>
                <w:szCs w:val="20"/>
              </w:rPr>
            </w:pPr>
            <w:r w:rsidRPr="004961D6">
              <w:rPr>
                <w:rFonts w:ascii="Calibri" w:eastAsia="Times New Roman" w:hAnsi="Calibri"/>
                <w:b/>
                <w:bCs/>
                <w:color w:val="000000"/>
                <w:sz w:val="18"/>
                <w:szCs w:val="20"/>
              </w:rPr>
              <w:t>A</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1213A95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1753A481"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7EDAAA0C"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c>
          <w:tcPr>
            <w:tcW w:w="785" w:type="pct"/>
            <w:tcBorders>
              <w:top w:val="single" w:sz="4" w:space="0" w:color="auto"/>
              <w:left w:val="single" w:sz="4" w:space="0" w:color="auto"/>
              <w:bottom w:val="single" w:sz="4" w:space="0" w:color="auto"/>
              <w:right w:val="single" w:sz="4" w:space="0" w:color="auto"/>
            </w:tcBorders>
            <w:shd w:val="clear" w:color="auto" w:fill="C7E3C4" w:themeFill="accent4" w:themeFillTint="66"/>
            <w:noWrap/>
            <w:vAlign w:val="bottom"/>
            <w:hideMark/>
          </w:tcPr>
          <w:p w14:paraId="25BA8F9D"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w:t>
            </w:r>
          </w:p>
        </w:tc>
      </w:tr>
      <w:tr w:rsidR="004961D6" w:rsidRPr="004961D6" w14:paraId="665084B3"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65DB7646"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PI-25 (i) Coverage of the internal audit function (percentages quoted refer to).</w:t>
            </w:r>
          </w:p>
        </w:tc>
        <w:tc>
          <w:tcPr>
            <w:tcW w:w="329" w:type="pct"/>
            <w:tcBorders>
              <w:top w:val="nil"/>
              <w:left w:val="nil"/>
              <w:bottom w:val="single" w:sz="4" w:space="0" w:color="auto"/>
              <w:right w:val="single" w:sz="4" w:space="0" w:color="auto"/>
            </w:tcBorders>
            <w:shd w:val="clear" w:color="auto" w:fill="auto"/>
            <w:noWrap/>
            <w:hideMark/>
          </w:tcPr>
          <w:p w14:paraId="2F555125"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7716C517"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3F93FC97"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2B4E02CD"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Internal audit is operational for central government entities representing at least 50% of total budgeted expenditures and for entities collecting at least 50% of government revenue.</w:t>
            </w:r>
          </w:p>
        </w:tc>
        <w:tc>
          <w:tcPr>
            <w:tcW w:w="785" w:type="pct"/>
            <w:tcBorders>
              <w:top w:val="nil"/>
              <w:left w:val="nil"/>
              <w:bottom w:val="single" w:sz="4" w:space="0" w:color="auto"/>
              <w:right w:val="single" w:sz="4" w:space="0" w:color="auto"/>
            </w:tcBorders>
            <w:shd w:val="clear" w:color="auto" w:fill="auto"/>
            <w:hideMark/>
          </w:tcPr>
          <w:p w14:paraId="6ACE330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Same as 2013. Still appropriate.</w:t>
            </w:r>
          </w:p>
        </w:tc>
        <w:tc>
          <w:tcPr>
            <w:tcW w:w="785" w:type="pct"/>
            <w:tcBorders>
              <w:top w:val="nil"/>
              <w:left w:val="nil"/>
              <w:bottom w:val="single" w:sz="4" w:space="0" w:color="auto"/>
              <w:right w:val="single" w:sz="4" w:space="0" w:color="auto"/>
            </w:tcBorders>
            <w:shd w:val="clear" w:color="auto" w:fill="auto"/>
            <w:hideMark/>
          </w:tcPr>
          <w:p w14:paraId="0389B652"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Internal audit is operational for central government entities representing at least 75% of total budgeted expenditures and for entities collecting at least 75% of government revenue.</w:t>
            </w:r>
          </w:p>
        </w:tc>
        <w:tc>
          <w:tcPr>
            <w:tcW w:w="785" w:type="pct"/>
            <w:tcBorders>
              <w:top w:val="nil"/>
              <w:left w:val="nil"/>
              <w:bottom w:val="single" w:sz="4" w:space="0" w:color="auto"/>
              <w:right w:val="single" w:sz="4" w:space="0" w:color="auto"/>
            </w:tcBorders>
            <w:shd w:val="clear" w:color="auto" w:fill="auto"/>
            <w:hideMark/>
          </w:tcPr>
          <w:p w14:paraId="5524229B"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Internal audit is operational for all central government entities.</w:t>
            </w:r>
          </w:p>
        </w:tc>
      </w:tr>
      <w:tr w:rsidR="004961D6" w:rsidRPr="004961D6" w14:paraId="5C5C1854"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39FFB28D"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PI-25 (ii) Implementation of audits and distribution of reports (percentages quoted refer to the average rate of completion of audit plans for all audited entities).</w:t>
            </w:r>
          </w:p>
        </w:tc>
        <w:tc>
          <w:tcPr>
            <w:tcW w:w="329" w:type="pct"/>
            <w:tcBorders>
              <w:top w:val="nil"/>
              <w:left w:val="nil"/>
              <w:bottom w:val="single" w:sz="4" w:space="0" w:color="auto"/>
              <w:right w:val="single" w:sz="4" w:space="0" w:color="auto"/>
            </w:tcBorders>
            <w:shd w:val="clear" w:color="auto" w:fill="auto"/>
            <w:noWrap/>
            <w:hideMark/>
          </w:tcPr>
          <w:p w14:paraId="217197CD"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1DD95F61"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372CBFCA"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4AC68106"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At least 50% of audit plan engagements are completed, as evidenced by distribution of the reports to the appropriate parties.</w:t>
            </w:r>
          </w:p>
        </w:tc>
        <w:tc>
          <w:tcPr>
            <w:tcW w:w="785" w:type="pct"/>
            <w:tcBorders>
              <w:top w:val="nil"/>
              <w:left w:val="nil"/>
              <w:bottom w:val="single" w:sz="4" w:space="0" w:color="auto"/>
              <w:right w:val="single" w:sz="4" w:space="0" w:color="auto"/>
            </w:tcBorders>
            <w:shd w:val="clear" w:color="auto" w:fill="auto"/>
            <w:hideMark/>
          </w:tcPr>
          <w:p w14:paraId="3C509873"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Same as 2013. Still appropriate.</w:t>
            </w:r>
          </w:p>
        </w:tc>
        <w:tc>
          <w:tcPr>
            <w:tcW w:w="785" w:type="pct"/>
            <w:tcBorders>
              <w:top w:val="nil"/>
              <w:left w:val="nil"/>
              <w:bottom w:val="single" w:sz="4" w:space="0" w:color="auto"/>
              <w:right w:val="single" w:sz="4" w:space="0" w:color="auto"/>
            </w:tcBorders>
            <w:shd w:val="clear" w:color="auto" w:fill="auto"/>
            <w:hideMark/>
          </w:tcPr>
          <w:p w14:paraId="7AF5426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At least 75% of audit plan engagements are completed, as evidenced by distribution of the reports to the appropriate parties.</w:t>
            </w:r>
          </w:p>
        </w:tc>
        <w:tc>
          <w:tcPr>
            <w:tcW w:w="785" w:type="pct"/>
            <w:tcBorders>
              <w:top w:val="nil"/>
              <w:left w:val="nil"/>
              <w:bottom w:val="single" w:sz="4" w:space="0" w:color="auto"/>
              <w:right w:val="single" w:sz="4" w:space="0" w:color="auto"/>
            </w:tcBorders>
            <w:shd w:val="clear" w:color="auto" w:fill="auto"/>
            <w:hideMark/>
          </w:tcPr>
          <w:p w14:paraId="2E004B78"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At least 90% of audit plan engagements are completed, as evidenced by distribution of the reports to the appropriate parties.</w:t>
            </w:r>
          </w:p>
        </w:tc>
      </w:tr>
      <w:tr w:rsidR="004961D6" w:rsidRPr="004961D6" w14:paraId="26E0BF99"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541E3145"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PI-25 (iii) Extent of management response to internal audit findings.</w:t>
            </w:r>
          </w:p>
        </w:tc>
        <w:tc>
          <w:tcPr>
            <w:tcW w:w="329" w:type="pct"/>
            <w:tcBorders>
              <w:top w:val="nil"/>
              <w:left w:val="nil"/>
              <w:bottom w:val="single" w:sz="4" w:space="0" w:color="auto"/>
              <w:right w:val="single" w:sz="4" w:space="0" w:color="auto"/>
            </w:tcBorders>
            <w:shd w:val="clear" w:color="auto" w:fill="auto"/>
            <w:noWrap/>
            <w:hideMark/>
          </w:tcPr>
          <w:p w14:paraId="25550D58"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4AEDA450"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B</w:t>
            </w:r>
          </w:p>
        </w:tc>
        <w:tc>
          <w:tcPr>
            <w:tcW w:w="329" w:type="pct"/>
            <w:tcBorders>
              <w:top w:val="nil"/>
              <w:left w:val="nil"/>
              <w:bottom w:val="single" w:sz="4" w:space="0" w:color="auto"/>
              <w:right w:val="single" w:sz="4" w:space="0" w:color="auto"/>
            </w:tcBorders>
            <w:shd w:val="clear" w:color="auto" w:fill="auto"/>
            <w:noWrap/>
            <w:hideMark/>
          </w:tcPr>
          <w:p w14:paraId="19C56582"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44D3FAE7"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There is clear evidence of effective and timely follow up of internal audit findings by management of 50% of the entities audited </w:t>
            </w:r>
            <w:r w:rsidRPr="004961D6">
              <w:rPr>
                <w:rFonts w:ascii="Calibri" w:eastAsia="Times New Roman" w:hAnsi="Calibri"/>
                <w:color w:val="000000"/>
                <w:sz w:val="18"/>
                <w:szCs w:val="20"/>
              </w:rPr>
              <w:lastRenderedPageBreak/>
              <w:t>in the last financial year.</w:t>
            </w:r>
          </w:p>
        </w:tc>
        <w:tc>
          <w:tcPr>
            <w:tcW w:w="785" w:type="pct"/>
            <w:tcBorders>
              <w:top w:val="nil"/>
              <w:left w:val="nil"/>
              <w:bottom w:val="single" w:sz="4" w:space="0" w:color="auto"/>
              <w:right w:val="single" w:sz="4" w:space="0" w:color="auto"/>
            </w:tcBorders>
            <w:shd w:val="clear" w:color="auto" w:fill="auto"/>
            <w:hideMark/>
          </w:tcPr>
          <w:p w14:paraId="134D3F1F"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Same as 2013. Still appropriate.</w:t>
            </w:r>
          </w:p>
        </w:tc>
        <w:tc>
          <w:tcPr>
            <w:tcW w:w="785" w:type="pct"/>
            <w:tcBorders>
              <w:top w:val="nil"/>
              <w:left w:val="nil"/>
              <w:bottom w:val="single" w:sz="4" w:space="0" w:color="auto"/>
              <w:right w:val="single" w:sz="4" w:space="0" w:color="auto"/>
            </w:tcBorders>
            <w:shd w:val="clear" w:color="auto" w:fill="auto"/>
            <w:hideMark/>
          </w:tcPr>
          <w:p w14:paraId="157B3B84"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 xml:space="preserve">There is clear evidence of effective and timely follow up of internal audit findings by management of 75% of the entities audited </w:t>
            </w:r>
            <w:r w:rsidRPr="004961D6">
              <w:rPr>
                <w:rFonts w:ascii="Calibri" w:eastAsia="Times New Roman" w:hAnsi="Calibri"/>
                <w:color w:val="000000"/>
                <w:sz w:val="18"/>
                <w:szCs w:val="20"/>
              </w:rPr>
              <w:lastRenderedPageBreak/>
              <w:t>in the last financial year.</w:t>
            </w:r>
          </w:p>
        </w:tc>
        <w:tc>
          <w:tcPr>
            <w:tcW w:w="785" w:type="pct"/>
            <w:tcBorders>
              <w:top w:val="nil"/>
              <w:left w:val="nil"/>
              <w:bottom w:val="single" w:sz="4" w:space="0" w:color="auto"/>
              <w:right w:val="single" w:sz="4" w:space="0" w:color="auto"/>
            </w:tcBorders>
            <w:shd w:val="clear" w:color="auto" w:fill="auto"/>
            <w:hideMark/>
          </w:tcPr>
          <w:p w14:paraId="33A6F3B9"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 xml:space="preserve">There is clear evidence of effective and timely follow up of internal audit findings by management of 90% of the entities audited </w:t>
            </w:r>
            <w:r w:rsidRPr="004961D6">
              <w:rPr>
                <w:rFonts w:ascii="Calibri" w:eastAsia="Times New Roman" w:hAnsi="Calibri"/>
                <w:color w:val="000000"/>
                <w:sz w:val="18"/>
                <w:szCs w:val="20"/>
              </w:rPr>
              <w:lastRenderedPageBreak/>
              <w:t>in the last financial year.</w:t>
            </w:r>
          </w:p>
        </w:tc>
      </w:tr>
      <w:tr w:rsidR="004961D6" w:rsidRPr="004961D6" w14:paraId="5A10A774" w14:textId="77777777" w:rsidTr="004961D6">
        <w:trPr>
          <w:trHeight w:val="20"/>
        </w:trPr>
        <w:tc>
          <w:tcPr>
            <w:tcW w:w="874" w:type="pct"/>
            <w:tcBorders>
              <w:top w:val="nil"/>
              <w:left w:val="single" w:sz="4" w:space="0" w:color="auto"/>
              <w:bottom w:val="single" w:sz="4" w:space="0" w:color="auto"/>
              <w:right w:val="single" w:sz="4" w:space="0" w:color="auto"/>
            </w:tcBorders>
            <w:shd w:val="clear" w:color="auto" w:fill="auto"/>
            <w:hideMark/>
          </w:tcPr>
          <w:p w14:paraId="17231DB0"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lastRenderedPageBreak/>
              <w:t>PI-25 (iv) Nature of audit performed and adherence to professional standards.</w:t>
            </w:r>
          </w:p>
        </w:tc>
        <w:tc>
          <w:tcPr>
            <w:tcW w:w="329" w:type="pct"/>
            <w:tcBorders>
              <w:top w:val="nil"/>
              <w:left w:val="nil"/>
              <w:bottom w:val="single" w:sz="4" w:space="0" w:color="auto"/>
              <w:right w:val="single" w:sz="4" w:space="0" w:color="auto"/>
            </w:tcBorders>
            <w:shd w:val="clear" w:color="auto" w:fill="auto"/>
            <w:noWrap/>
            <w:hideMark/>
          </w:tcPr>
          <w:p w14:paraId="393698E4"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D</w:t>
            </w:r>
          </w:p>
        </w:tc>
        <w:tc>
          <w:tcPr>
            <w:tcW w:w="329" w:type="pct"/>
            <w:tcBorders>
              <w:top w:val="nil"/>
              <w:left w:val="nil"/>
              <w:bottom w:val="single" w:sz="4" w:space="0" w:color="auto"/>
              <w:right w:val="single" w:sz="4" w:space="0" w:color="auto"/>
            </w:tcBorders>
            <w:shd w:val="clear" w:color="auto" w:fill="auto"/>
            <w:noWrap/>
            <w:hideMark/>
          </w:tcPr>
          <w:p w14:paraId="7E944641"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C</w:t>
            </w:r>
          </w:p>
        </w:tc>
        <w:tc>
          <w:tcPr>
            <w:tcW w:w="329" w:type="pct"/>
            <w:tcBorders>
              <w:top w:val="nil"/>
              <w:left w:val="nil"/>
              <w:bottom w:val="single" w:sz="4" w:space="0" w:color="auto"/>
              <w:right w:val="single" w:sz="4" w:space="0" w:color="auto"/>
            </w:tcBorders>
            <w:shd w:val="clear" w:color="auto" w:fill="auto"/>
            <w:noWrap/>
            <w:hideMark/>
          </w:tcPr>
          <w:p w14:paraId="19582D3E" w14:textId="77777777" w:rsidR="004961D6" w:rsidRPr="004961D6" w:rsidRDefault="004961D6" w:rsidP="004961D6">
            <w:pPr>
              <w:jc w:val="center"/>
              <w:rPr>
                <w:rFonts w:ascii="Calibri" w:eastAsia="Times New Roman" w:hAnsi="Calibri"/>
                <w:color w:val="000000"/>
                <w:sz w:val="18"/>
                <w:szCs w:val="20"/>
              </w:rPr>
            </w:pPr>
            <w:r w:rsidRPr="004961D6">
              <w:rPr>
                <w:rFonts w:ascii="Calibri" w:eastAsia="Times New Roman" w:hAnsi="Calibri"/>
                <w:color w:val="000000"/>
                <w:sz w:val="18"/>
                <w:szCs w:val="20"/>
              </w:rPr>
              <w:t>A</w:t>
            </w:r>
          </w:p>
        </w:tc>
        <w:tc>
          <w:tcPr>
            <w:tcW w:w="785" w:type="pct"/>
            <w:tcBorders>
              <w:top w:val="nil"/>
              <w:left w:val="nil"/>
              <w:bottom w:val="single" w:sz="4" w:space="0" w:color="auto"/>
              <w:right w:val="single" w:sz="4" w:space="0" w:color="auto"/>
            </w:tcBorders>
            <w:shd w:val="clear" w:color="auto" w:fill="auto"/>
            <w:hideMark/>
          </w:tcPr>
          <w:p w14:paraId="66CC604A"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The requirements for a ‘C’ rating or higher are not met.</w:t>
            </w:r>
          </w:p>
        </w:tc>
        <w:tc>
          <w:tcPr>
            <w:tcW w:w="785" w:type="pct"/>
            <w:tcBorders>
              <w:top w:val="nil"/>
              <w:left w:val="nil"/>
              <w:bottom w:val="single" w:sz="4" w:space="0" w:color="auto"/>
              <w:right w:val="single" w:sz="4" w:space="0" w:color="auto"/>
            </w:tcBorders>
            <w:shd w:val="clear" w:color="auto" w:fill="auto"/>
            <w:hideMark/>
          </w:tcPr>
          <w:p w14:paraId="4996DCA3" w14:textId="7BB6C3FB"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Not sufficient coverage of stan</w:t>
            </w:r>
            <w:r w:rsidR="009F5DB4">
              <w:rPr>
                <w:rFonts w:ascii="Calibri" w:eastAsia="Times New Roman" w:hAnsi="Calibri"/>
                <w:color w:val="000000"/>
                <w:sz w:val="18"/>
                <w:szCs w:val="20"/>
              </w:rPr>
              <w:t>d</w:t>
            </w:r>
            <w:r w:rsidRPr="004961D6">
              <w:rPr>
                <w:rFonts w:ascii="Calibri" w:eastAsia="Times New Roman" w:hAnsi="Calibri"/>
                <w:color w:val="000000"/>
                <w:sz w:val="18"/>
                <w:szCs w:val="20"/>
              </w:rPr>
              <w:t xml:space="preserve">ards across government. </w:t>
            </w:r>
          </w:p>
        </w:tc>
        <w:tc>
          <w:tcPr>
            <w:tcW w:w="785" w:type="pct"/>
            <w:tcBorders>
              <w:top w:val="nil"/>
              <w:left w:val="nil"/>
              <w:bottom w:val="single" w:sz="4" w:space="0" w:color="auto"/>
              <w:right w:val="single" w:sz="4" w:space="0" w:color="auto"/>
            </w:tcBorders>
            <w:shd w:val="clear" w:color="auto" w:fill="auto"/>
            <w:hideMark/>
          </w:tcPr>
          <w:p w14:paraId="3B9B2651"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Internal audit activities consist primarily of ex-post reviews focused on financial compliance.</w:t>
            </w:r>
          </w:p>
        </w:tc>
        <w:tc>
          <w:tcPr>
            <w:tcW w:w="785" w:type="pct"/>
            <w:tcBorders>
              <w:top w:val="nil"/>
              <w:left w:val="nil"/>
              <w:bottom w:val="single" w:sz="4" w:space="0" w:color="auto"/>
              <w:right w:val="single" w:sz="4" w:space="0" w:color="auto"/>
            </w:tcBorders>
            <w:shd w:val="clear" w:color="auto" w:fill="auto"/>
            <w:hideMark/>
          </w:tcPr>
          <w:p w14:paraId="4A19C7BE" w14:textId="77777777" w:rsidR="004961D6" w:rsidRPr="004961D6" w:rsidRDefault="004961D6" w:rsidP="004961D6">
            <w:pPr>
              <w:rPr>
                <w:rFonts w:ascii="Calibri" w:eastAsia="Times New Roman" w:hAnsi="Calibri"/>
                <w:color w:val="000000"/>
                <w:sz w:val="18"/>
                <w:szCs w:val="20"/>
              </w:rPr>
            </w:pPr>
            <w:r w:rsidRPr="004961D6">
              <w:rPr>
                <w:rFonts w:ascii="Calibri" w:eastAsia="Times New Roman" w:hAnsi="Calibri"/>
                <w:color w:val="000000"/>
                <w:sz w:val="18"/>
                <w:szCs w:val="20"/>
              </w:rPr>
              <w:t>A quality assurance process is in place within the internal audit function. There is evidence that assurance activities meet professional standards, including following a risk-based audit plan.</w:t>
            </w:r>
          </w:p>
        </w:tc>
      </w:tr>
    </w:tbl>
    <w:p w14:paraId="47F4AC8A" w14:textId="77777777" w:rsidR="00293364" w:rsidRPr="006713DD" w:rsidRDefault="00293364" w:rsidP="00293364"/>
    <w:p w14:paraId="232FEECF" w14:textId="3605B4D8" w:rsidR="00751BA3" w:rsidRDefault="00751BA3">
      <w:pPr>
        <w:spacing w:after="200" w:line="312" w:lineRule="auto"/>
        <w:rPr>
          <w:lang w:val="en-GB"/>
        </w:rPr>
      </w:pPr>
      <w:r>
        <w:rPr>
          <w:lang w:val="en-GB"/>
        </w:rPr>
        <w:br w:type="page"/>
      </w:r>
    </w:p>
    <w:p w14:paraId="00E94BE7" w14:textId="1D01DD3E" w:rsidR="00887CA6" w:rsidRPr="006713DD" w:rsidRDefault="00887CA6" w:rsidP="00DE147D">
      <w:pPr>
        <w:pStyle w:val="TableHeader1"/>
      </w:pPr>
      <w:bookmarkStart w:id="82" w:name="_Toc457162643"/>
      <w:r w:rsidRPr="006713DD">
        <w:lastRenderedPageBreak/>
        <w:t>Aspirational OBI Targets</w:t>
      </w:r>
      <w:bookmarkEnd w:id="82"/>
    </w:p>
    <w:tbl>
      <w:tblPr>
        <w:tblW w:w="5000" w:type="pct"/>
        <w:tblLayout w:type="fixed"/>
        <w:tblLook w:val="04A0" w:firstRow="1" w:lastRow="0" w:firstColumn="1" w:lastColumn="0" w:noHBand="0" w:noVBand="1"/>
      </w:tblPr>
      <w:tblGrid>
        <w:gridCol w:w="392"/>
        <w:gridCol w:w="5724"/>
        <w:gridCol w:w="623"/>
        <w:gridCol w:w="623"/>
        <w:gridCol w:w="623"/>
        <w:gridCol w:w="1025"/>
      </w:tblGrid>
      <w:tr w:rsidR="00487675" w:rsidRPr="006713DD" w14:paraId="7FA4CFA5" w14:textId="77777777" w:rsidTr="004961D6">
        <w:trPr>
          <w:trHeight w:val="20"/>
          <w:tblHeader/>
        </w:trPr>
        <w:tc>
          <w:tcPr>
            <w:tcW w:w="217" w:type="pct"/>
            <w:tcBorders>
              <w:top w:val="single" w:sz="4" w:space="0" w:color="auto"/>
              <w:left w:val="single" w:sz="4" w:space="0" w:color="auto"/>
              <w:bottom w:val="single" w:sz="4" w:space="0" w:color="auto"/>
              <w:right w:val="single" w:sz="4" w:space="0" w:color="auto"/>
            </w:tcBorders>
            <w:shd w:val="clear" w:color="auto" w:fill="4E9747" w:themeFill="accent4" w:themeFillShade="BF"/>
            <w:noWrap/>
            <w:vAlign w:val="center"/>
            <w:hideMark/>
          </w:tcPr>
          <w:p w14:paraId="11118216" w14:textId="77777777" w:rsidR="006713DD" w:rsidRPr="004961D6" w:rsidRDefault="006713DD" w:rsidP="006713DD">
            <w:pPr>
              <w:rPr>
                <w:rFonts w:ascii="Calibri" w:eastAsia="Times New Roman" w:hAnsi="Calibri"/>
                <w:b/>
                <w:bCs/>
                <w:color w:val="000000"/>
                <w:sz w:val="18"/>
                <w:szCs w:val="18"/>
              </w:rPr>
            </w:pPr>
            <w:r w:rsidRPr="004961D6">
              <w:rPr>
                <w:rFonts w:ascii="Calibri" w:eastAsia="Times New Roman" w:hAnsi="Calibri"/>
                <w:b/>
                <w:bCs/>
                <w:color w:val="000000"/>
                <w:sz w:val="18"/>
                <w:szCs w:val="18"/>
              </w:rPr>
              <w:t>No.</w:t>
            </w:r>
          </w:p>
        </w:tc>
        <w:tc>
          <w:tcPr>
            <w:tcW w:w="3175" w:type="pct"/>
            <w:tcBorders>
              <w:top w:val="single" w:sz="4" w:space="0" w:color="auto"/>
              <w:left w:val="single" w:sz="4" w:space="0" w:color="auto"/>
              <w:bottom w:val="single" w:sz="4" w:space="0" w:color="auto"/>
              <w:right w:val="single" w:sz="4" w:space="0" w:color="auto"/>
            </w:tcBorders>
            <w:shd w:val="clear" w:color="auto" w:fill="4E9747" w:themeFill="accent4" w:themeFillShade="BF"/>
            <w:noWrap/>
            <w:vAlign w:val="center"/>
            <w:hideMark/>
          </w:tcPr>
          <w:p w14:paraId="67B83D10" w14:textId="77777777" w:rsidR="006713DD" w:rsidRPr="004961D6" w:rsidRDefault="006713DD" w:rsidP="006713DD">
            <w:pPr>
              <w:rPr>
                <w:rFonts w:ascii="Calibri" w:eastAsia="Times New Roman" w:hAnsi="Calibri"/>
                <w:b/>
                <w:bCs/>
                <w:color w:val="000000"/>
                <w:sz w:val="18"/>
                <w:szCs w:val="18"/>
              </w:rPr>
            </w:pPr>
            <w:r w:rsidRPr="004961D6">
              <w:rPr>
                <w:rFonts w:ascii="Calibri" w:eastAsia="Times New Roman" w:hAnsi="Calibri"/>
                <w:b/>
                <w:bCs/>
                <w:color w:val="000000"/>
                <w:sz w:val="18"/>
                <w:szCs w:val="18"/>
              </w:rPr>
              <w:t>Question</w:t>
            </w:r>
          </w:p>
        </w:tc>
        <w:tc>
          <w:tcPr>
            <w:tcW w:w="346" w:type="pct"/>
            <w:tcBorders>
              <w:top w:val="single" w:sz="4" w:space="0" w:color="auto"/>
              <w:left w:val="single" w:sz="4" w:space="0" w:color="auto"/>
              <w:bottom w:val="single" w:sz="4" w:space="0" w:color="auto"/>
              <w:right w:val="single" w:sz="4" w:space="0" w:color="auto"/>
            </w:tcBorders>
            <w:shd w:val="clear" w:color="auto" w:fill="4E9747" w:themeFill="accent4" w:themeFillShade="BF"/>
            <w:noWrap/>
            <w:vAlign w:val="center"/>
            <w:hideMark/>
          </w:tcPr>
          <w:p w14:paraId="220B8790" w14:textId="77777777" w:rsidR="006713DD" w:rsidRPr="004961D6" w:rsidRDefault="006713DD" w:rsidP="006713DD">
            <w:pPr>
              <w:jc w:val="right"/>
              <w:rPr>
                <w:rFonts w:ascii="Calibri" w:eastAsia="Times New Roman" w:hAnsi="Calibri"/>
                <w:b/>
                <w:bCs/>
                <w:color w:val="000000"/>
                <w:sz w:val="18"/>
                <w:szCs w:val="18"/>
              </w:rPr>
            </w:pPr>
            <w:r w:rsidRPr="004961D6">
              <w:rPr>
                <w:rFonts w:ascii="Calibri" w:eastAsia="Times New Roman" w:hAnsi="Calibri"/>
                <w:b/>
                <w:bCs/>
                <w:color w:val="000000"/>
                <w:sz w:val="18"/>
                <w:szCs w:val="18"/>
              </w:rPr>
              <w:t>2008</w:t>
            </w:r>
          </w:p>
        </w:tc>
        <w:tc>
          <w:tcPr>
            <w:tcW w:w="346" w:type="pct"/>
            <w:tcBorders>
              <w:top w:val="single" w:sz="4" w:space="0" w:color="auto"/>
              <w:left w:val="single" w:sz="4" w:space="0" w:color="auto"/>
              <w:bottom w:val="single" w:sz="4" w:space="0" w:color="auto"/>
              <w:right w:val="single" w:sz="4" w:space="0" w:color="auto"/>
            </w:tcBorders>
            <w:shd w:val="clear" w:color="auto" w:fill="4E9747" w:themeFill="accent4" w:themeFillShade="BF"/>
            <w:noWrap/>
            <w:vAlign w:val="center"/>
            <w:hideMark/>
          </w:tcPr>
          <w:p w14:paraId="2F5C5AF5" w14:textId="77777777" w:rsidR="006713DD" w:rsidRPr="004961D6" w:rsidRDefault="006713DD" w:rsidP="006713DD">
            <w:pPr>
              <w:jc w:val="right"/>
              <w:rPr>
                <w:rFonts w:ascii="Calibri" w:eastAsia="Times New Roman" w:hAnsi="Calibri"/>
                <w:b/>
                <w:bCs/>
                <w:color w:val="000000"/>
                <w:sz w:val="18"/>
                <w:szCs w:val="18"/>
              </w:rPr>
            </w:pPr>
            <w:r w:rsidRPr="004961D6">
              <w:rPr>
                <w:rFonts w:ascii="Calibri" w:eastAsia="Times New Roman" w:hAnsi="Calibri"/>
                <w:b/>
                <w:bCs/>
                <w:color w:val="000000"/>
                <w:sz w:val="18"/>
                <w:szCs w:val="18"/>
              </w:rPr>
              <w:t>2010</w:t>
            </w:r>
          </w:p>
        </w:tc>
        <w:tc>
          <w:tcPr>
            <w:tcW w:w="346" w:type="pct"/>
            <w:tcBorders>
              <w:top w:val="single" w:sz="4" w:space="0" w:color="auto"/>
              <w:left w:val="single" w:sz="4" w:space="0" w:color="auto"/>
              <w:bottom w:val="single" w:sz="4" w:space="0" w:color="auto"/>
              <w:right w:val="single" w:sz="4" w:space="0" w:color="auto"/>
            </w:tcBorders>
            <w:shd w:val="clear" w:color="auto" w:fill="4E9747" w:themeFill="accent4" w:themeFillShade="BF"/>
            <w:noWrap/>
            <w:vAlign w:val="center"/>
            <w:hideMark/>
          </w:tcPr>
          <w:p w14:paraId="051A32F6" w14:textId="77777777" w:rsidR="006713DD" w:rsidRPr="004961D6" w:rsidRDefault="006713DD" w:rsidP="006713DD">
            <w:pPr>
              <w:jc w:val="right"/>
              <w:rPr>
                <w:rFonts w:ascii="Calibri" w:eastAsia="Times New Roman" w:hAnsi="Calibri"/>
                <w:b/>
                <w:bCs/>
                <w:color w:val="000000"/>
                <w:sz w:val="18"/>
                <w:szCs w:val="18"/>
              </w:rPr>
            </w:pPr>
            <w:r w:rsidRPr="004961D6">
              <w:rPr>
                <w:rFonts w:ascii="Calibri" w:eastAsia="Times New Roman" w:hAnsi="Calibri"/>
                <w:b/>
                <w:bCs/>
                <w:color w:val="000000"/>
                <w:sz w:val="18"/>
                <w:szCs w:val="18"/>
              </w:rPr>
              <w:t>2012</w:t>
            </w:r>
          </w:p>
        </w:tc>
        <w:tc>
          <w:tcPr>
            <w:tcW w:w="569" w:type="pct"/>
            <w:tcBorders>
              <w:top w:val="single" w:sz="4" w:space="0" w:color="auto"/>
              <w:left w:val="single" w:sz="4" w:space="0" w:color="auto"/>
              <w:bottom w:val="single" w:sz="4" w:space="0" w:color="auto"/>
              <w:right w:val="single" w:sz="4" w:space="0" w:color="auto"/>
            </w:tcBorders>
            <w:shd w:val="clear" w:color="auto" w:fill="4E9747" w:themeFill="accent4" w:themeFillShade="BF"/>
            <w:noWrap/>
            <w:vAlign w:val="center"/>
            <w:hideMark/>
          </w:tcPr>
          <w:p w14:paraId="5921C58E" w14:textId="77777777" w:rsidR="006713DD" w:rsidRPr="004961D6" w:rsidRDefault="006713DD" w:rsidP="006713DD">
            <w:pPr>
              <w:rPr>
                <w:rFonts w:ascii="Calibri" w:eastAsia="Times New Roman" w:hAnsi="Calibri"/>
                <w:b/>
                <w:bCs/>
                <w:color w:val="000000"/>
                <w:sz w:val="18"/>
                <w:szCs w:val="18"/>
              </w:rPr>
            </w:pPr>
            <w:r w:rsidRPr="004961D6">
              <w:rPr>
                <w:rFonts w:ascii="Calibri" w:eastAsia="Times New Roman" w:hAnsi="Calibri"/>
                <w:b/>
                <w:bCs/>
                <w:color w:val="000000"/>
                <w:sz w:val="18"/>
                <w:szCs w:val="18"/>
              </w:rPr>
              <w:t>Aspirational</w:t>
            </w:r>
          </w:p>
        </w:tc>
      </w:tr>
      <w:tr w:rsidR="00487675" w:rsidRPr="006713DD" w14:paraId="31879A99"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0BEDED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5776ED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Does the Executive’s Budget Proposal or any supporting budget documentation present  expenditures for the budget year that are classified by administrative unit (that is, by ministry, department, or agency)?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1E30EE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EBECE7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903875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76B116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F3DDAA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A42B4E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C23BDAB"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expenditures for the budget year by functional classification?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2300D3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8786E8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F35A9B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8BD3F9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54BE8C9"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2FAEF9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FC7794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expenditures for the budget year that are presented by economic classification?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283B24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15BAE8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5425AC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DA2B02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2DA4BA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C2E381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42AB8B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expenditures for individual programs for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5FD806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933B82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02D582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69AFC9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B3103E6"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B9569D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E0A0F9B"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are estimates of the aggregate level of expenditure presented for a multi-year period (at least two years beyond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30597A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896F20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1CFB7A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8C57BF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912C00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26F7AA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79C21CC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is more detail in addition to the aggregate level presented for expenditure estimates that cover a multi-year period (for at least two years beyond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6D8028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7E49F1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8B9521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88DF59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A522CA3"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F5C914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D3EED8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identify the different sources of tax revenue (such as income tax or VAT) for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22AEA2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3657DB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793802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0A879B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5FCF43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D8723C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47597B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identify the different sources of non-tax revenue (such as grants, property income, and sales of government-produced goods and services) for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E490C7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36FD65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47DDE4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BC454F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39526E6"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431529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33B6E8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are estimates of the aggregate level of revenue presented for a multi-year period (at least two years beyond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A0C504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5701A0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8A2F91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F3A1DC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59243E3"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C0203A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453A73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is more detail in addition to the aggregate level presented for revenue estimates that cover a multi-year period (for at least two years beyond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842B8A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2B1D58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B5A4CC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2403DD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E97B08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7435E4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E853358"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data on the total government debt outstanding for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70F977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C32FB5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AE1E2A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6C1A9B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EC8F66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C5C4B5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BC22A4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interest payments on the debt for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2DCED6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08CCC8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48E584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3DCF5A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5F17409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EA205D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8C5FD7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related to the composition of government debt (such as interest rates on the debt, maturity profile of the debt, currency denomination of the debt, or whether it is domestic or external debt) for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E989BB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F9A6FC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2BF1D4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8D2190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DFA2F6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A16B8C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74BB79C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the macroeconomic forecast upon which the budget projections are based?</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73C2FD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B0550A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5F4244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220C38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066E0A9"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1F8FA4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7A54AC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show the impact of different macroeconomic assumptions (i.e., sensitivity analysis) on the budget (including impacts on expenditures, revenues, and debt)?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B33ADB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89BCFA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C7AC7E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D54FC7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A5B670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5C5957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78043A51"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Does the Executive’s Budget Proposal or any supporting budget documentation present information for at least the budget year that </w:t>
            </w:r>
            <w:r w:rsidRPr="004961D6">
              <w:rPr>
                <w:rFonts w:ascii="Calibri" w:eastAsia="Times New Roman" w:hAnsi="Calibri"/>
                <w:color w:val="000000"/>
                <w:sz w:val="18"/>
                <w:szCs w:val="18"/>
              </w:rPr>
              <w:lastRenderedPageBreak/>
              <w:t>shows how policy proposals, as distinct from existing policies, affect expenditures?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53E1CD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lastRenderedPageBreak/>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AE4BDF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4589B7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6515CA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990929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F8B550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lastRenderedPageBreak/>
              <w:t>17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F49A1D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for at least the budget year that shows how policy proposals, as distinct from existing policies, affect revenues?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6D2AD1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B46379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FCFBAE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F4307D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7C883DE"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A55136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CD75BF8"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expenditures for the year preceding the budget year (BY-1) that are classified by administrative unit (that is, by ministry, department, or agency)?</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CF0205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315B55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2DAE7F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301669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2699EDB"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277C88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854843D"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expenditures for the year preceding the budget year (BY-1) that are classified by functional classification?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D61DD8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E7CFEF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C4EA2C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FC84E1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A3B38B3"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8FFF5C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7E839772"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expenditures for the year preceding the budget year (BY-1) that are classified by economic classification?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955F95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24A202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0BFFA1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FEB201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8C164AE"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CFAE7C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709B3C7F"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expenditures for individual programs for the year preceding the budget year (BY-1)?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E6CC7C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E37F51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3C1E26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018214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8691BE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E40306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F8E4BB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how many months of data on actual expenditures are reflected in the expenditure estimates of the year prior to the budget year (BY-1)?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0FC8DF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3DF23A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268BA1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6B77DF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5325F13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35FD08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DCF5E3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are estimates of the aggregate level of expenditure presented for more than one year prior to the budget year (that is, BY-2 and prior years)?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75E9DB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3D5CD6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C3694F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4FD43F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5063F2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1A4911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15E2632"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more detail in addition to the aggregate level for expenditure estimates that cover more than one year prior to the budget year (that is, BY-2 and prior years)?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3EC311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72432E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2C1587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E6C1FA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E479ACC"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BB0A51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2BA1D8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what is the most recent year presented for which all expenditures reflect actual outcomes?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90A8F8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5318B6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8BCF7F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481452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011B30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C0A80F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A0168B4"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Are the expenditure estimates for the years prior to the budget year adjusted as needed to be comparable with the budget-year estimates in terms of classification and presentation?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31AA25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FD30BD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E7948C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DEB1F0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4738DF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20CB29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C2CD99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identify the different sources of tax revenue (such as income tax or VAT) for the year preceding the budget year (BY-1)?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FA39A2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25D4AB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0074C8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310BEC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FD3067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019327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1B2BA62"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identify the different sources of non-tax revenue (such as grants, property income, and sales of goods and services) for the year preceding the budget year (BY-1)?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0A4F45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33E133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F749AA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75E82F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B9127E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DACAB3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29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7430896F"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how many months of data on actual revenues are reflected in the revenue estimates of the year prior to the budget year (BY-1)?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515533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E267AC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540688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2F5D24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31A89E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AB51D5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1336A9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are estimates of the aggregate level of revenues presented for more than one year prior to the budget year (that is, BY-2 and prior years)?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C8C465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C72851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06994C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D7CAD8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3F5C8D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C287B8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8175DAF"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is more detail in addition to the aggregate level presented for revenue estimates for more than one year prior to the budget year (that is, BY-2 and prior years)?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371B72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C8D007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8574A7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7CFA4E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811CDFE"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726F6A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lastRenderedPageBreak/>
              <w:t>32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CD0A1D5"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what is the most recent year presented for which all revenues reflect actual outcomes?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ADD415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51FB19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BEBEC2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4CF844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06A150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E183FF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35AFDDD"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related to the government debt for the year preceding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4C9C8F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C30C3F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5D9BE3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D62BFF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7DAF4E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0B4B7C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FFA52A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Executive’s Budget Proposal or any supporting budget documentation, what is the most recent year presented for which the debt figures reflect actual outcomes?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14103C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63B4EA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C45103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08C0CF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356F1B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5F1A46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23CACA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extra-budgetary funds for at least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CB8E28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BD8318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FF1275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17F150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6B6E847"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98374C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32325AC"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intergovernmental transfers for at least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669003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53B0C4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5541EF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734FC1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3AB73BB"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1F9A5F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15FC03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transfers to public corporations for at least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15E5B5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BE221F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D3EF8D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3DE568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716864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383A73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CB30AD4"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quasi-fiscal activities for at least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BB327A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3060EA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A6E2CB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FB6137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954A259"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62AA39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CD2C87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financial assets held by the government?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61A40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5DE3A6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97301B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C15BF3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595EC6D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EE531B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9B1C75F"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nonfinancial assets held by the government?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43A6BD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047F94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432573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A494EB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0CE6BC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3FEC43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7FBABFA8"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expenditure arrears for at least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A57810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9FD99B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0FF202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682539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52712D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A097E8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9487EC1"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contingent liabilities (such as government loan guarantees)?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D33727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9BA1D5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404BBA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49F7A6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3983AD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709902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4EBF2CD"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future liabilities, such as civil service pensions?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ACE52A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845A2A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27D3C7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985F86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DB44CC2"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2167B1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37CD62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provide details on the sources of donor assistance, both financial and in-kind?</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7317EB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0D7722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442E7B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5BFE4A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E9B33A2"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8F1AA1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A17C2EC"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tax expenditures for at least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C9DADE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8254C6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9F13BA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68A318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BB719B4"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3187FA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DE7080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identify all earmarked revenues?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32C023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A5E7DC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60C2E5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C595FA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ECB4AD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A61E36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85EF96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What percentage of expenditure in the budget year is dedicated to spending on secret items relating to, for instance, national security and military intelligence?</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E91F95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1178F8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FE9A00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0AD2E0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CEB0A5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803B9F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202A6C7"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explain how the proposed budget is linked to government’s stated policy goals, by administrative unit or functional category, for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AC4FCF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229F71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EF9C36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ECA960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5C5D81E"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FF8D6D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49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855EBA4"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explain how the proposed budget is linked to government’s stated policy goals for a multi-year period (for at least two years beyond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33DB2A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0FB230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D7BC17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FBB0BF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21A3232"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200E03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lastRenderedPageBreak/>
              <w:t>50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6A7B99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nonfinancial data, such as the number of beneficiaries, for expenditure programs?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B8699B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5C3B12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F6F534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CDA69D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51E7104"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20475B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024C73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Are the nonfinancial data presented useful for assessing how an expenditure program is performing?</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DFC869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BC42C5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FE6E00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72C2F4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983650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BE25F1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667283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contain performance indicators for expenditure programs?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E7E693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2968B3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468888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94AE6C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5160E4B4"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0C7EBD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0AEEAAC"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Are the performance indicators sufficiently well designed, such that one can assess whether there has been progress toward meeting policy goals?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16DAD5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79FA8D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31C14F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75D4D0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654344C"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D329B3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97A68CC"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Are performance indicators used in conjunction with performance targets presented in the Executive’s Budget Proposal or any supporting budget documentation?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8133AB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4BF775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050F7D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D40499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AB84507"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767068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67318E2"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Executive’s Budget Proposal or any supporting budget documentation present information on policies (both proposals and existing commitments) that are intended to benefit directly the country’s most impoverished populations in at least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88E386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317420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E4DDD1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C288D0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59D341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A3CE97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DD49454"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How far in advance of the release of the budget is the day of its release known?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F4B332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2F65AC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006391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9C8562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32FE63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AE412C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AB012D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 release to the public its timetable for formulating the Executive’s Budget Proposal (that is, a document setting deadlines for submissions from other government entities, such as line ministries or subnational government, to the Ministry of Finance or whatever central government agency is in charge of coordinating the budget’s formulation)?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FCE7ED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FE4F0A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CF1C5E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24243C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1962BC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FA0990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F1BEE2B"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 adhere to its timetable for the preparation and release of the budget?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D8CEA2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1FF777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096EAE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8BE24C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392E5A3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91B5BA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59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997B2AB"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 hold consultations with members of the legislature as part of its process of determining budget priorities?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BAE08E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E98B4B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35A149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1D3E61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212A052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247DEB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A3861E1"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When does the executive release a Pre-Budget Statement to the public?</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00FEC8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DF2A1B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032775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B19359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64A79A7"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4136E9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886B27B"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Pre-Budget Statement describe the government’s macroeconomic and fiscal framework?</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279FCC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CE39EA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349911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85093F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0B1372F"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229B13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4816C7D"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Pre-Budget Statement describe the government’s policies and priorities that will guide the development of detailed estimates for the upcoming budget?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42BF6D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5AA550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28BBD3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5E797A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63EC6DF"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99EE04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F0F450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How often does the executive release to the public In-Year Reports on actual expenditure (organized by administrative unit, economic classification, and/or function)?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7D82F0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B91FC3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A84779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6EC672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B5C30E6"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160223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00D8395"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What share of expenditure is covered by In-Year Reports on actual expenditure (organized by administrative unit, economic classification, and/or function)?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17D984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A48FCD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D18C4E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A46DB6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50A840B9"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ACCB4A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A3B675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What is the most detail provided in the In-Year Reports on actual expenditures organized by administrative unit?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3F8A4C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4D5A81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39ED06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EAEBD7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FFB331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1C7CAA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8B65384"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 the In-Year Reports released to the public compare actual year-to-date expenditures with either the original estimate for that period (based on the enacted budget) or the same period in the previous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5AEC98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D76A41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B83362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3C1E1A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4CD7CA4"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2E2D3D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2E5AFA8"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How often does the executive release to the public In-Year Reports on actual revenue collections by source of revenue?</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0907D9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230227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BA60F2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CA1588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6CA682E"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A33A4B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7A4344DD"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What share of revenue is covered by the In-Year Reports on actual revenue collections?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1B5D59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7CEB1C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F870F8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B6BEF5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00D501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E0B525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3621B0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 the In-Year Reports released to the public compare actual year-to-date revenue collections with either the original estimate for that period (based on the enacted budget) or the same period in the previous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5B3FCC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4F5A70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F1582A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740E7E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D43F37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9C6BE5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881526C"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 release to the public In-Year Reports on actual borrowing?</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443B6E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4CC823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4ABC6E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CFA66B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D112D0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2E00CC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856DB0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Do In-Year Reports released to the public on actual borrowing present information related to the composition of government debt (such as </w:t>
            </w:r>
            <w:r w:rsidRPr="004961D6">
              <w:rPr>
                <w:rFonts w:ascii="Calibri" w:eastAsia="Times New Roman" w:hAnsi="Calibri"/>
                <w:color w:val="000000"/>
                <w:sz w:val="18"/>
                <w:szCs w:val="18"/>
              </w:rPr>
              <w:lastRenderedPageBreak/>
              <w:t>interest rates on the debt, maturity profile of the debt, and currency denomination of the debt) for the budget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71D5FE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lastRenderedPageBreak/>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CF41E6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C3ED27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11E28D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32DB561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6F826A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lastRenderedPageBreak/>
              <w:t>72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8EEA8DC"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For In-Year Reports on actual expenditure released to the public by the executive, how much time typically elapses between the end of the reporting period and when the report is released (e.g., are quarterly reports released less than four weeks after the end of the quarter)?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6D0C68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25C20B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361301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27E504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F5EB30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381979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DA0D498"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 release to the public a Mid-Year Review of the budget that discusses the changes in economic outlook since the budget was enacted?</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E089E2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BA88E0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C5D2AB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D3C5A3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0A8C627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F05BC9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A20285F"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Does the executive release to the public a Mid-Year Review of the budget that includes updated expenditure estimates for the budget year underway?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EB99D9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1DFF5A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7E030A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EB6815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7316172F"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6AB094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A8F1D7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What is the most detail provided in the Mid-Year Review for expenditures?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F6B2F8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E0C510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98E19D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B8331B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4E4ED61B"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18455C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CDC1FF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 release to the public a Mid-Year Review of the budget that includes updated revenue estimates for the budget year underway?</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3C4258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6E1304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8059AB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A0C20B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001C5A8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1789F4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B84307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How long after the end of the budget year does the executive release to the public a Year-End Report that discusses the budget’s actual outcome for the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9449A8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7E9F21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4F8E7D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BE2351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542D88BB"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AC8A67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EA7AF8C"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In the Year-End Report have the data on the actual outcomes been audited?</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206878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F8AB8B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7DDEAF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78B404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B0E25A7"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1E35CD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79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A6D044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Year-End Report explain the differences between the enacted levels (including in-year changes approved by the legislature) and the actual outcome for expenditures?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34950B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EA93B5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D5561E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F9AA73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D403C6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8C7396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DF1238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What level of detail is the focus of the explanation of the differences between the enacted levels and the actual outcome for expenditures presented in the Year-End Report?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6ED552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9E881E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7CD22E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3C0246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66D7A3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45A513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7E9EF44"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Year-End Report explain the differences between the enacted levels (including in-year changes approved by the legislature) and the actual outcome for revenues?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48CC01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6B241F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F9A8EF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76C07A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606D07F"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0F74C5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A380802"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 Does the Year-End Report explain the differences between the original macroeconomic forecast for the fiscal year and the actual outcome for that year?</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298183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FE671A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6A3659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57E36B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20F9F3C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E7957E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02E028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Year-End Report explain the differences between the original estimates of nonfinancial data and the actual outcome?</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022AA3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CE8BEE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7F12D6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A671E1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D7EE057"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00A059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B84513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Year-End Report explain the differences between the original performance indicators and the actual outcome?</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E2C4DA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4AC9D2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D15706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A850E3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078B509"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77168B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4C9DDD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Year-End Report explain the differences between the enacted level of funds intended to benefit directly the country’s most impoverished populations and the actual outcome?</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F4F3F0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E32519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B715B3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6C5E1E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57E8CBAC"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1C5EAB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0CB5802"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Year-End Report present the actual outcome for extra-budgetary funds?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3FC2E8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C91B6C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D1EB46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DFCD79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43065D7"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8DA685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DE0B54F"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How long after the end of the fiscal year are the final annual expenditures of national departments audited and the results of the audits (except for secret programs) released to the public?</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0984EE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E18888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E3B7AB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AE0913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787B0C9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FBFC80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B6A06C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Two years after the end of a fiscal year, what percentage of annual expenditures has been audited and included in (except for secret programs) the Audit Report(s) released to the public?</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D93677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AF4683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4DE93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0F9569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B593024"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39E9F6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89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755E765"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annual Audit Report(s) that is released to the public include an executive summary?</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59AD14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F5B647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02AE52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8A4F50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F174AC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7988EB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2A736A7"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Must a branch of government other than the executive (such as the legislature or the judiciary) give final consent before the head of the supreme audit institution (SAI) can be removed from office?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3E8856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A52870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B11E8E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92016C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0B94DB5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B9C96B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1501127"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supreme audit institution (SAI) release to the public audits of extra-budgetary funds?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7AED10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894999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7D4C5E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8B890B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7DE8EE4F"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8AF025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lastRenderedPageBreak/>
              <w:t>92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CFA128F"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Beyond the established year-end attestation audits, does the supreme audit institution (SAI) have the discretion in law to undertake those audits it may wish to?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0A6C5F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904D87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9F20BC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5B9A48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5C61AAC9"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C0B39C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5B50C92"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Who determines the budget of the supreme audit institution (SAI)?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AFFF3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3DE304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DEEEB1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01BD75E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9CA80C3"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9E1C8E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5E3FA6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supreme audit institution (SAI) employ designated staff to undertake audits of the central government agencies pertaining to the security sector (military, police, intelligence services)?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60A817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C15543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94DE08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BACA88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F524320"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8BA8F6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81B749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 make available to the public a report on what steps it has taken to address audit recommendations or findings that indicate a need for remedial action?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053FA7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0BBFFD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751E04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B16A8B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35DC8E3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1E5FEA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F668F28"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Are Audit Reports of the annual accounts of the security sector (military, police, intelligence services) and other secret programs provided to the legislature (or relevant committee)?</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C8EA02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6A237C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843B2A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828875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730B593B"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949832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438D2C5"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Does the legislature have internal capacity to conduct budget analyses or access to independent research capacity for such analyses?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2FAAF7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62AA1F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C94D8A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5492B3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033C9096"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56B297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B238065"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legislature formally debate the overall budget policy prior to the tabling of the Executive’s Budget Proposal?</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C01705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E3EB42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6924F7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5FFD93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78862AA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583852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99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198585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How far in advance of the start of the budget year does the legislature receive the Executive’s Budget Proposal?</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C82591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FA0FD3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E1EAE0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A06F8D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5B1181DE"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E1EFF9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640233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legislature have the authority in law to amend the Executive’s Budget Proposal?</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594BDC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640E38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2660F1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05D6C5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475B6679"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9B01A0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3E48752"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What is the highest level of detail provided for appropriations (expenditure budget) in the Enacted Budget approved by the legislature?</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1280E6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8BD9FC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A7294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0E8358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89D5D3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1876FA4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76CA38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Is the executive required by law or regulation to seek input from the legislature when it shifts funds between administrative units that receive explicit funding through the annual budget?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CB3AA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896F29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1E63CD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8B9BD3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822AFC3"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80D1C0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9FA3D9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Is the executive required seek input from the legislature when it shifts funds between line items (except when the amounts are below a certain minimal level specified in law or regulation)?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018E6E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65DFB3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E7C212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B110CB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579BAAFB"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5BDA46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758F81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What legal or regulatory restrictions are in place on the executive’s discretion to spend excess revenue that may become available during the budget execution period?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B32106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AACF46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829B05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25FFDE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C1343DE"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9FB3DE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682447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 When does the legislature typically approve supplemental budgets?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E88A37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AF465E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CF5F59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2DB247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B5AE558"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A1F9CE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9D30A21"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When does the legislature approve the expenditure of contingency funds or other funds for which no specific purpose was identified in the Enacted Budget?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038876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3AE639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42F590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777D60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4A336BA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91D452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2F2970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a committee of the legislature view and scrutinize the audit reports?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F98A15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D71559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FEEB39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36D7BC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2E4DE8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1B582A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B6298E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either the supreme audit institution or legislature release to the public a report that tracks actions taken by the executive to address audit recommendations?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09104B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66F247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0D7D63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341805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747CEC2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139838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677015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What is the most detail provided by the Citizens Budget?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E7B751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148F7A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75255C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CB19A6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9F4D352"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77BAD4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5EB3E11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How is the Citizens Budget disseminated to the public?</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5CF679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0C671E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80BDD5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A38392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C6C8DDF"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05BE84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0EBA0F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Are the public’s priorities on budget information taken into consideration by the executive while drafting the Citizens Budget?</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A8A4F2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70AC8C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3C57D0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A5AE76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132CB4DB"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B8B7EF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lastRenderedPageBreak/>
              <w:t>112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19303E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Are Citizens Budget throughout the budget process?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00A836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E5FB3E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885623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0157B6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249F825"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522E82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730517F"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Does the executive make available to the public accessible, nontechnical definitions of terms used in the budget and other budget-related documents (for instance, in a glossary)?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3B3334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CC20E5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BAD159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A232B8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6E708A33"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AC1611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7B73574"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Is the executive formally required to engage with the public during the budget process?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A8A8B8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01721C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2773BB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33B8BD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0404CB8D"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E72B13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105CAB9"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Does the executive clearly, and in a timely manner, articulate its purpose for engaging the public during the budget formulation and execution processes?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63EEE2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7432AE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6D2C15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4E50922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100</w:t>
            </w:r>
          </w:p>
        </w:tc>
      </w:tr>
      <w:tr w:rsidR="00487675" w:rsidRPr="006713DD" w14:paraId="3E30E8A3"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470195B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116</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22D9A83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Has the executive established practical and accessible mechanisms to identify the public’s perspective on budget priorities?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316D67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E2E6B9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5E19FC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BBC345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609CF4B1"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55998C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117</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9478CF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Has the executive established practical and accessible mechanisms to identify the public’s perspective on budget execution?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8F6FAA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5FAB13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6E191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53C5A6C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5CA9AC67"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00640B9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118</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191C3DF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executive provide formal, detailed feedback to the public on how its inputs have been used to develop budget plans and improve budget execution?</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B81545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B8C82B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880A4D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3A40A29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36B297DE"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447E4C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119</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5217035"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a legislative committee (or committees) hold public hearings on the macroeconomic and fiscal framework presented in the budget in which testimony from the executive branch and the public is heard?</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EDA4BB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47986B20"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D527FF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10422A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4689A12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7C78FDC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120</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48ABDAB6"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 legislative committees hold public hearings on the individual budgets of central government administrative units (i.e., ministries, departments, and agencies) in which testimony from the executive branch is heard?</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3F24CD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17B7E7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9AFA6AB"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33</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299EF99"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7F63F757"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8F8A74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121</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635C1D4"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a legislative committee (or committees) hold public hearings on the individual budgets of central government administrative units (i.e., ministries, departments, and agencies) in which testimony from the public is heard?</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759D1F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BD88C15"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82C09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C226AB1"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23ADCD1C"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3914CC4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122</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6DEE7E03"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 the legislative committees that hold public hearings release reports to the public on these hearings?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165235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00989F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18FE759D"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4F2DA4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6EADE8DF"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5DA27EDE"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123</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DE9E05E"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supreme audit institution (SAI) maintain formal mechanisms through which the public can participate in the audit process?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0514832"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94B7C08"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3FE21EE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60C7DE7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51DED6BC"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20CB9FF6"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124</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3EC4580A"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 xml:space="preserve">Does the SAI maintain any communication with the public regarding its audit reports beyond simply making these reports publicly available? </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724FE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75700357"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653D2A2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7687C6B4"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r w:rsidR="00487675" w:rsidRPr="006713DD" w14:paraId="0955483A" w14:textId="77777777" w:rsidTr="004961D6">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noWrap/>
            <w:hideMark/>
          </w:tcPr>
          <w:p w14:paraId="6CE0C123"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125</w:t>
            </w:r>
          </w:p>
        </w:tc>
        <w:tc>
          <w:tcPr>
            <w:tcW w:w="3175" w:type="pct"/>
            <w:tcBorders>
              <w:top w:val="single" w:sz="4" w:space="0" w:color="auto"/>
              <w:left w:val="single" w:sz="4" w:space="0" w:color="auto"/>
              <w:bottom w:val="single" w:sz="4" w:space="0" w:color="auto"/>
              <w:right w:val="single" w:sz="4" w:space="0" w:color="auto"/>
            </w:tcBorders>
            <w:shd w:val="clear" w:color="auto" w:fill="auto"/>
            <w:noWrap/>
            <w:hideMark/>
          </w:tcPr>
          <w:p w14:paraId="055E4990" w14:textId="77777777" w:rsidR="006713DD" w:rsidRPr="004961D6" w:rsidRDefault="006713DD" w:rsidP="006713DD">
            <w:pPr>
              <w:rPr>
                <w:rFonts w:ascii="Calibri" w:eastAsia="Times New Roman" w:hAnsi="Calibri"/>
                <w:color w:val="000000"/>
                <w:sz w:val="18"/>
                <w:szCs w:val="18"/>
              </w:rPr>
            </w:pPr>
            <w:r w:rsidRPr="004961D6">
              <w:rPr>
                <w:rFonts w:ascii="Calibri" w:eastAsia="Times New Roman" w:hAnsi="Calibri"/>
                <w:color w:val="000000"/>
                <w:sz w:val="18"/>
                <w:szCs w:val="18"/>
              </w:rPr>
              <w:t>Does the supreme audit institution (SAI) provide formal, detailed feedback to the public on how their inputs have been used to determine its audit program or in audit reports?</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0D38D7E2" w14:textId="77777777" w:rsidR="006713DD" w:rsidRPr="004961D6" w:rsidRDefault="006713DD" w:rsidP="006713DD">
            <w:pPr>
              <w:rPr>
                <w:rFonts w:ascii="Calibri" w:eastAsia="Times New Roman" w:hAnsi="Calibri"/>
                <w:color w:val="000000"/>
                <w:sz w:val="18"/>
                <w:szCs w:val="18"/>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58BE9FEA"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-1</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14:paraId="2409B14C"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2E3698F" w14:textId="77777777" w:rsidR="006713DD" w:rsidRPr="004961D6" w:rsidRDefault="006713DD" w:rsidP="006713DD">
            <w:pPr>
              <w:jc w:val="right"/>
              <w:rPr>
                <w:rFonts w:ascii="Calibri" w:eastAsia="Times New Roman" w:hAnsi="Calibri"/>
                <w:color w:val="000000"/>
                <w:sz w:val="18"/>
                <w:szCs w:val="18"/>
              </w:rPr>
            </w:pPr>
            <w:r w:rsidRPr="004961D6">
              <w:rPr>
                <w:rFonts w:ascii="Calibri" w:eastAsia="Times New Roman" w:hAnsi="Calibri"/>
                <w:color w:val="000000"/>
                <w:sz w:val="18"/>
                <w:szCs w:val="18"/>
              </w:rPr>
              <w:t>67</w:t>
            </w:r>
          </w:p>
        </w:tc>
      </w:tr>
    </w:tbl>
    <w:p w14:paraId="27C0922B" w14:textId="77777777" w:rsidR="00577BED" w:rsidRDefault="00577BED">
      <w:pPr>
        <w:spacing w:after="200" w:line="312" w:lineRule="auto"/>
        <w:rPr>
          <w:lang w:val="en-GB"/>
        </w:rPr>
      </w:pPr>
    </w:p>
    <w:p w14:paraId="21B43ED5" w14:textId="77777777" w:rsidR="00751BA3" w:rsidRDefault="00751BA3">
      <w:pPr>
        <w:spacing w:after="200" w:line="312" w:lineRule="auto"/>
        <w:rPr>
          <w:lang w:val="en-GB"/>
        </w:rPr>
      </w:pPr>
      <w:r>
        <w:rPr>
          <w:lang w:val="en-GB"/>
        </w:rPr>
        <w:br w:type="page"/>
      </w:r>
    </w:p>
    <w:p w14:paraId="1ADB4899" w14:textId="75F88AC7" w:rsidR="00751BA3" w:rsidRDefault="00751BA3" w:rsidP="00DE147D">
      <w:pPr>
        <w:pStyle w:val="TableHeader1"/>
      </w:pPr>
      <w:bookmarkStart w:id="83" w:name="_Toc457162644"/>
      <w:r>
        <w:lastRenderedPageBreak/>
        <w:t>Statistical Capacity Indicators</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599"/>
        <w:gridCol w:w="600"/>
        <w:gridCol w:w="600"/>
        <w:gridCol w:w="600"/>
        <w:gridCol w:w="600"/>
        <w:gridCol w:w="600"/>
        <w:gridCol w:w="600"/>
        <w:gridCol w:w="600"/>
        <w:gridCol w:w="600"/>
        <w:gridCol w:w="600"/>
        <w:gridCol w:w="600"/>
        <w:gridCol w:w="1161"/>
      </w:tblGrid>
      <w:tr w:rsidR="00C55C33" w:rsidRPr="00873AD9" w14:paraId="56E2B7DB" w14:textId="77777777" w:rsidTr="00C55C33">
        <w:trPr>
          <w:trHeight w:val="20"/>
        </w:trPr>
        <w:tc>
          <w:tcPr>
            <w:tcW w:w="708" w:type="pct"/>
            <w:shd w:val="clear" w:color="000000" w:fill="4E9747" w:themeFill="accent4" w:themeFillShade="BF"/>
            <w:noWrap/>
            <w:vAlign w:val="bottom"/>
            <w:hideMark/>
          </w:tcPr>
          <w:p w14:paraId="697CD98A" w14:textId="77777777" w:rsidR="00C55C33" w:rsidRPr="00873AD9" w:rsidRDefault="00C55C33" w:rsidP="00873AD9">
            <w:pPr>
              <w:jc w:val="center"/>
              <w:rPr>
                <w:rFonts w:ascii="Calibri" w:eastAsia="Times New Roman" w:hAnsi="Calibri"/>
                <w:b/>
                <w:color w:val="000000"/>
                <w:sz w:val="22"/>
                <w:szCs w:val="22"/>
              </w:rPr>
            </w:pPr>
            <w:r w:rsidRPr="00C55C33">
              <w:rPr>
                <w:rFonts w:ascii="Calibri" w:eastAsia="Times New Roman" w:hAnsi="Calibri"/>
                <w:b/>
                <w:color w:val="000000"/>
                <w:sz w:val="22"/>
                <w:szCs w:val="22"/>
              </w:rPr>
              <w:t>SCI</w:t>
            </w:r>
          </w:p>
        </w:tc>
        <w:tc>
          <w:tcPr>
            <w:tcW w:w="331" w:type="pct"/>
            <w:shd w:val="clear" w:color="000000" w:fill="4E9747" w:themeFill="accent4" w:themeFillShade="BF"/>
            <w:noWrap/>
            <w:vAlign w:val="bottom"/>
            <w:hideMark/>
          </w:tcPr>
          <w:p w14:paraId="75B279AB"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2004</w:t>
            </w:r>
          </w:p>
        </w:tc>
        <w:tc>
          <w:tcPr>
            <w:tcW w:w="331" w:type="pct"/>
            <w:shd w:val="clear" w:color="000000" w:fill="4E9747" w:themeFill="accent4" w:themeFillShade="BF"/>
            <w:noWrap/>
            <w:vAlign w:val="bottom"/>
            <w:hideMark/>
          </w:tcPr>
          <w:p w14:paraId="5AF27C99"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2005</w:t>
            </w:r>
          </w:p>
        </w:tc>
        <w:tc>
          <w:tcPr>
            <w:tcW w:w="331" w:type="pct"/>
            <w:shd w:val="clear" w:color="000000" w:fill="4E9747" w:themeFill="accent4" w:themeFillShade="BF"/>
            <w:noWrap/>
            <w:vAlign w:val="bottom"/>
            <w:hideMark/>
          </w:tcPr>
          <w:p w14:paraId="23A2CD94"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2006</w:t>
            </w:r>
          </w:p>
        </w:tc>
        <w:tc>
          <w:tcPr>
            <w:tcW w:w="331" w:type="pct"/>
            <w:shd w:val="clear" w:color="000000" w:fill="4E9747" w:themeFill="accent4" w:themeFillShade="BF"/>
            <w:noWrap/>
            <w:vAlign w:val="bottom"/>
            <w:hideMark/>
          </w:tcPr>
          <w:p w14:paraId="37B571FF"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2007</w:t>
            </w:r>
          </w:p>
        </w:tc>
        <w:tc>
          <w:tcPr>
            <w:tcW w:w="331" w:type="pct"/>
            <w:shd w:val="clear" w:color="000000" w:fill="4E9747" w:themeFill="accent4" w:themeFillShade="BF"/>
            <w:noWrap/>
            <w:vAlign w:val="bottom"/>
            <w:hideMark/>
          </w:tcPr>
          <w:p w14:paraId="46E30533"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2008</w:t>
            </w:r>
          </w:p>
        </w:tc>
        <w:tc>
          <w:tcPr>
            <w:tcW w:w="331" w:type="pct"/>
            <w:shd w:val="clear" w:color="000000" w:fill="4E9747" w:themeFill="accent4" w:themeFillShade="BF"/>
            <w:noWrap/>
            <w:vAlign w:val="bottom"/>
            <w:hideMark/>
          </w:tcPr>
          <w:p w14:paraId="0E4B4CE6"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2009</w:t>
            </w:r>
          </w:p>
        </w:tc>
        <w:tc>
          <w:tcPr>
            <w:tcW w:w="331" w:type="pct"/>
            <w:shd w:val="clear" w:color="000000" w:fill="4E9747" w:themeFill="accent4" w:themeFillShade="BF"/>
            <w:noWrap/>
            <w:vAlign w:val="bottom"/>
            <w:hideMark/>
          </w:tcPr>
          <w:p w14:paraId="79D1BF16"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2010</w:t>
            </w:r>
          </w:p>
        </w:tc>
        <w:tc>
          <w:tcPr>
            <w:tcW w:w="331" w:type="pct"/>
            <w:shd w:val="clear" w:color="000000" w:fill="4E9747" w:themeFill="accent4" w:themeFillShade="BF"/>
            <w:noWrap/>
            <w:vAlign w:val="bottom"/>
            <w:hideMark/>
          </w:tcPr>
          <w:p w14:paraId="7E9C9D48"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2011</w:t>
            </w:r>
          </w:p>
        </w:tc>
        <w:tc>
          <w:tcPr>
            <w:tcW w:w="331" w:type="pct"/>
            <w:shd w:val="clear" w:color="000000" w:fill="4E9747" w:themeFill="accent4" w:themeFillShade="BF"/>
            <w:noWrap/>
            <w:vAlign w:val="bottom"/>
            <w:hideMark/>
          </w:tcPr>
          <w:p w14:paraId="594AE1BE"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2012</w:t>
            </w:r>
          </w:p>
        </w:tc>
        <w:tc>
          <w:tcPr>
            <w:tcW w:w="331" w:type="pct"/>
            <w:shd w:val="clear" w:color="000000" w:fill="4E9747" w:themeFill="accent4" w:themeFillShade="BF"/>
            <w:noWrap/>
            <w:vAlign w:val="bottom"/>
            <w:hideMark/>
          </w:tcPr>
          <w:p w14:paraId="28C32957"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2013</w:t>
            </w:r>
          </w:p>
        </w:tc>
        <w:tc>
          <w:tcPr>
            <w:tcW w:w="331" w:type="pct"/>
            <w:shd w:val="clear" w:color="000000" w:fill="4E9747" w:themeFill="accent4" w:themeFillShade="BF"/>
            <w:noWrap/>
            <w:vAlign w:val="bottom"/>
            <w:hideMark/>
          </w:tcPr>
          <w:p w14:paraId="6215B6FC"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2014</w:t>
            </w:r>
          </w:p>
        </w:tc>
        <w:tc>
          <w:tcPr>
            <w:tcW w:w="656" w:type="pct"/>
            <w:shd w:val="clear" w:color="000000" w:fill="4E9747" w:themeFill="accent4" w:themeFillShade="BF"/>
            <w:noWrap/>
            <w:vAlign w:val="bottom"/>
            <w:hideMark/>
          </w:tcPr>
          <w:p w14:paraId="7619CD37" w14:textId="77777777" w:rsidR="00C55C33" w:rsidRPr="00873AD9" w:rsidRDefault="00C55C33" w:rsidP="00873AD9">
            <w:pPr>
              <w:jc w:val="center"/>
              <w:rPr>
                <w:rFonts w:ascii="Calibri" w:eastAsia="Times New Roman" w:hAnsi="Calibri"/>
                <w:color w:val="000000"/>
                <w:sz w:val="22"/>
                <w:szCs w:val="22"/>
              </w:rPr>
            </w:pPr>
            <w:r w:rsidRPr="00873AD9">
              <w:rPr>
                <w:rFonts w:ascii="Calibri" w:eastAsia="Times New Roman" w:hAnsi="Calibri"/>
                <w:color w:val="000000"/>
                <w:sz w:val="22"/>
                <w:szCs w:val="22"/>
              </w:rPr>
              <w:t>ASP TARGET</w:t>
            </w:r>
          </w:p>
        </w:tc>
      </w:tr>
      <w:tr w:rsidR="00C55C33" w:rsidRPr="00873AD9" w14:paraId="7D1AA905" w14:textId="77777777" w:rsidTr="00C55C33">
        <w:trPr>
          <w:trHeight w:val="20"/>
        </w:trPr>
        <w:tc>
          <w:tcPr>
            <w:tcW w:w="708" w:type="pct"/>
            <w:shd w:val="clear" w:color="auto" w:fill="ACD6A7" w:themeFill="accent4" w:themeFillTint="99"/>
            <w:vAlign w:val="bottom"/>
            <w:hideMark/>
          </w:tcPr>
          <w:p w14:paraId="52B43695" w14:textId="77777777" w:rsidR="00C55C33" w:rsidRPr="00873AD9" w:rsidRDefault="00C55C33" w:rsidP="00873AD9">
            <w:pPr>
              <w:rPr>
                <w:rFonts w:ascii="Calibri" w:eastAsia="Times New Roman" w:hAnsi="Calibri"/>
                <w:color w:val="000000"/>
                <w:sz w:val="22"/>
                <w:szCs w:val="22"/>
              </w:rPr>
            </w:pPr>
            <w:r w:rsidRPr="00873AD9">
              <w:rPr>
                <w:rFonts w:ascii="Calibri" w:eastAsia="Times New Roman" w:hAnsi="Calibri"/>
                <w:color w:val="000000"/>
                <w:sz w:val="22"/>
                <w:szCs w:val="22"/>
              </w:rPr>
              <w:t>Overall score</w:t>
            </w:r>
          </w:p>
        </w:tc>
        <w:tc>
          <w:tcPr>
            <w:tcW w:w="331" w:type="pct"/>
            <w:shd w:val="clear" w:color="auto" w:fill="ACD6A7" w:themeFill="accent4" w:themeFillTint="99"/>
            <w:vAlign w:val="bottom"/>
            <w:hideMark/>
          </w:tcPr>
          <w:p w14:paraId="669ECCCA"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24 </w:t>
            </w:r>
          </w:p>
        </w:tc>
        <w:tc>
          <w:tcPr>
            <w:tcW w:w="331" w:type="pct"/>
            <w:shd w:val="clear" w:color="auto" w:fill="ACD6A7" w:themeFill="accent4" w:themeFillTint="99"/>
            <w:vAlign w:val="bottom"/>
            <w:hideMark/>
          </w:tcPr>
          <w:p w14:paraId="75235957"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31 </w:t>
            </w:r>
          </w:p>
        </w:tc>
        <w:tc>
          <w:tcPr>
            <w:tcW w:w="331" w:type="pct"/>
            <w:shd w:val="clear" w:color="auto" w:fill="ACD6A7" w:themeFill="accent4" w:themeFillTint="99"/>
            <w:vAlign w:val="bottom"/>
            <w:hideMark/>
          </w:tcPr>
          <w:p w14:paraId="68275763"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32 </w:t>
            </w:r>
          </w:p>
        </w:tc>
        <w:tc>
          <w:tcPr>
            <w:tcW w:w="331" w:type="pct"/>
            <w:shd w:val="clear" w:color="auto" w:fill="ACD6A7" w:themeFill="accent4" w:themeFillTint="99"/>
            <w:vAlign w:val="bottom"/>
            <w:hideMark/>
          </w:tcPr>
          <w:p w14:paraId="485069AD"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34 </w:t>
            </w:r>
          </w:p>
        </w:tc>
        <w:tc>
          <w:tcPr>
            <w:tcW w:w="331" w:type="pct"/>
            <w:shd w:val="clear" w:color="auto" w:fill="ACD6A7" w:themeFill="accent4" w:themeFillTint="99"/>
            <w:vAlign w:val="bottom"/>
            <w:hideMark/>
          </w:tcPr>
          <w:p w14:paraId="4FF2DD3A"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46 </w:t>
            </w:r>
          </w:p>
        </w:tc>
        <w:tc>
          <w:tcPr>
            <w:tcW w:w="331" w:type="pct"/>
            <w:shd w:val="clear" w:color="auto" w:fill="ACD6A7" w:themeFill="accent4" w:themeFillTint="99"/>
            <w:vAlign w:val="bottom"/>
            <w:hideMark/>
          </w:tcPr>
          <w:p w14:paraId="331DC992"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47 </w:t>
            </w:r>
          </w:p>
        </w:tc>
        <w:tc>
          <w:tcPr>
            <w:tcW w:w="331" w:type="pct"/>
            <w:shd w:val="clear" w:color="auto" w:fill="ACD6A7" w:themeFill="accent4" w:themeFillTint="99"/>
            <w:vAlign w:val="bottom"/>
            <w:hideMark/>
          </w:tcPr>
          <w:p w14:paraId="18CAB52B"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52 </w:t>
            </w:r>
          </w:p>
        </w:tc>
        <w:tc>
          <w:tcPr>
            <w:tcW w:w="331" w:type="pct"/>
            <w:shd w:val="clear" w:color="auto" w:fill="ACD6A7" w:themeFill="accent4" w:themeFillTint="99"/>
            <w:vAlign w:val="bottom"/>
            <w:hideMark/>
          </w:tcPr>
          <w:p w14:paraId="3394DEE8"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51 </w:t>
            </w:r>
          </w:p>
        </w:tc>
        <w:tc>
          <w:tcPr>
            <w:tcW w:w="331" w:type="pct"/>
            <w:shd w:val="clear" w:color="auto" w:fill="ACD6A7" w:themeFill="accent4" w:themeFillTint="99"/>
            <w:vAlign w:val="bottom"/>
            <w:hideMark/>
          </w:tcPr>
          <w:p w14:paraId="71382B2B"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50 </w:t>
            </w:r>
          </w:p>
        </w:tc>
        <w:tc>
          <w:tcPr>
            <w:tcW w:w="331" w:type="pct"/>
            <w:shd w:val="clear" w:color="auto" w:fill="ACD6A7" w:themeFill="accent4" w:themeFillTint="99"/>
            <w:vAlign w:val="bottom"/>
            <w:hideMark/>
          </w:tcPr>
          <w:p w14:paraId="12DCF601"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53 </w:t>
            </w:r>
          </w:p>
        </w:tc>
        <w:tc>
          <w:tcPr>
            <w:tcW w:w="331" w:type="pct"/>
            <w:shd w:val="clear" w:color="auto" w:fill="ACD6A7" w:themeFill="accent4" w:themeFillTint="99"/>
            <w:vAlign w:val="bottom"/>
            <w:hideMark/>
          </w:tcPr>
          <w:p w14:paraId="41D62EB3"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54 </w:t>
            </w:r>
          </w:p>
        </w:tc>
        <w:tc>
          <w:tcPr>
            <w:tcW w:w="656" w:type="pct"/>
            <w:shd w:val="clear" w:color="auto" w:fill="ACD6A7" w:themeFill="accent4" w:themeFillTint="99"/>
            <w:vAlign w:val="bottom"/>
            <w:hideMark/>
          </w:tcPr>
          <w:p w14:paraId="50CA548E"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73</w:t>
            </w:r>
          </w:p>
        </w:tc>
      </w:tr>
      <w:tr w:rsidR="00C55C33" w:rsidRPr="00873AD9" w14:paraId="6EB93D63" w14:textId="77777777" w:rsidTr="00C55C33">
        <w:trPr>
          <w:trHeight w:val="20"/>
        </w:trPr>
        <w:tc>
          <w:tcPr>
            <w:tcW w:w="708" w:type="pct"/>
            <w:shd w:val="clear" w:color="auto" w:fill="auto"/>
            <w:vAlign w:val="bottom"/>
            <w:hideMark/>
          </w:tcPr>
          <w:p w14:paraId="02D31211" w14:textId="77777777" w:rsidR="00C55C33" w:rsidRPr="00873AD9" w:rsidRDefault="00C55C33" w:rsidP="00873AD9">
            <w:pPr>
              <w:rPr>
                <w:rFonts w:ascii="Calibri" w:eastAsia="Times New Roman" w:hAnsi="Calibri"/>
                <w:color w:val="000000"/>
                <w:sz w:val="22"/>
                <w:szCs w:val="22"/>
              </w:rPr>
            </w:pPr>
            <w:r w:rsidRPr="00873AD9">
              <w:rPr>
                <w:rFonts w:ascii="Calibri" w:eastAsia="Times New Roman" w:hAnsi="Calibri"/>
                <w:color w:val="000000"/>
                <w:sz w:val="22"/>
                <w:szCs w:val="22"/>
              </w:rPr>
              <w:t xml:space="preserve">Compliance with Methodology </w:t>
            </w:r>
          </w:p>
        </w:tc>
        <w:tc>
          <w:tcPr>
            <w:tcW w:w="331" w:type="pct"/>
            <w:shd w:val="clear" w:color="auto" w:fill="auto"/>
            <w:vAlign w:val="bottom"/>
            <w:hideMark/>
          </w:tcPr>
          <w:p w14:paraId="7668C35B"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0</w:t>
            </w:r>
          </w:p>
        </w:tc>
        <w:tc>
          <w:tcPr>
            <w:tcW w:w="331" w:type="pct"/>
            <w:shd w:val="clear" w:color="auto" w:fill="auto"/>
            <w:vAlign w:val="bottom"/>
            <w:hideMark/>
          </w:tcPr>
          <w:p w14:paraId="2C1B6835"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20</w:t>
            </w:r>
          </w:p>
        </w:tc>
        <w:tc>
          <w:tcPr>
            <w:tcW w:w="331" w:type="pct"/>
            <w:shd w:val="clear" w:color="auto" w:fill="auto"/>
            <w:vAlign w:val="bottom"/>
            <w:hideMark/>
          </w:tcPr>
          <w:p w14:paraId="32798442"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20</w:t>
            </w:r>
          </w:p>
        </w:tc>
        <w:tc>
          <w:tcPr>
            <w:tcW w:w="331" w:type="pct"/>
            <w:shd w:val="clear" w:color="auto" w:fill="auto"/>
            <w:vAlign w:val="bottom"/>
            <w:hideMark/>
          </w:tcPr>
          <w:p w14:paraId="7AD3AAFE"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20</w:t>
            </w:r>
          </w:p>
        </w:tc>
        <w:tc>
          <w:tcPr>
            <w:tcW w:w="331" w:type="pct"/>
            <w:shd w:val="clear" w:color="auto" w:fill="auto"/>
            <w:vAlign w:val="bottom"/>
            <w:hideMark/>
          </w:tcPr>
          <w:p w14:paraId="2553DC5E"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1D39D300"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30</w:t>
            </w:r>
          </w:p>
        </w:tc>
        <w:tc>
          <w:tcPr>
            <w:tcW w:w="331" w:type="pct"/>
            <w:shd w:val="clear" w:color="auto" w:fill="auto"/>
            <w:vAlign w:val="bottom"/>
            <w:hideMark/>
          </w:tcPr>
          <w:p w14:paraId="4E605A1A"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616D6CA3"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3DED9736"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5ECEBEF8"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50</w:t>
            </w:r>
          </w:p>
        </w:tc>
        <w:tc>
          <w:tcPr>
            <w:tcW w:w="331" w:type="pct"/>
            <w:shd w:val="clear" w:color="auto" w:fill="auto"/>
            <w:vAlign w:val="bottom"/>
            <w:hideMark/>
          </w:tcPr>
          <w:p w14:paraId="3C810D74"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50</w:t>
            </w:r>
          </w:p>
        </w:tc>
        <w:tc>
          <w:tcPr>
            <w:tcW w:w="656" w:type="pct"/>
            <w:shd w:val="clear" w:color="auto" w:fill="auto"/>
            <w:vAlign w:val="bottom"/>
            <w:hideMark/>
          </w:tcPr>
          <w:p w14:paraId="3DEE016B"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70</w:t>
            </w:r>
          </w:p>
        </w:tc>
      </w:tr>
      <w:tr w:rsidR="00C55C33" w:rsidRPr="00873AD9" w14:paraId="7D2F9980" w14:textId="77777777" w:rsidTr="00C55C33">
        <w:trPr>
          <w:trHeight w:val="595"/>
        </w:trPr>
        <w:tc>
          <w:tcPr>
            <w:tcW w:w="708" w:type="pct"/>
            <w:shd w:val="clear" w:color="auto" w:fill="auto"/>
            <w:vAlign w:val="bottom"/>
            <w:hideMark/>
          </w:tcPr>
          <w:p w14:paraId="5374DECC" w14:textId="77777777" w:rsidR="00C55C33" w:rsidRPr="00873AD9" w:rsidRDefault="00C55C33" w:rsidP="00873AD9">
            <w:pPr>
              <w:rPr>
                <w:rFonts w:ascii="Calibri" w:eastAsia="Times New Roman" w:hAnsi="Calibri"/>
                <w:color w:val="000000"/>
                <w:sz w:val="22"/>
                <w:szCs w:val="22"/>
              </w:rPr>
            </w:pPr>
            <w:r w:rsidRPr="00873AD9">
              <w:rPr>
                <w:rFonts w:ascii="Calibri" w:eastAsia="Times New Roman" w:hAnsi="Calibri"/>
                <w:color w:val="000000"/>
                <w:sz w:val="22"/>
                <w:szCs w:val="22"/>
              </w:rPr>
              <w:t>Adequacy of source data</w:t>
            </w:r>
          </w:p>
        </w:tc>
        <w:tc>
          <w:tcPr>
            <w:tcW w:w="331" w:type="pct"/>
            <w:shd w:val="clear" w:color="auto" w:fill="auto"/>
            <w:vAlign w:val="bottom"/>
            <w:hideMark/>
          </w:tcPr>
          <w:p w14:paraId="45941E3D"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20</w:t>
            </w:r>
          </w:p>
        </w:tc>
        <w:tc>
          <w:tcPr>
            <w:tcW w:w="331" w:type="pct"/>
            <w:shd w:val="clear" w:color="auto" w:fill="auto"/>
            <w:vAlign w:val="bottom"/>
            <w:hideMark/>
          </w:tcPr>
          <w:p w14:paraId="5E58D3BD"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20</w:t>
            </w:r>
          </w:p>
        </w:tc>
        <w:tc>
          <w:tcPr>
            <w:tcW w:w="331" w:type="pct"/>
            <w:shd w:val="clear" w:color="auto" w:fill="auto"/>
            <w:vAlign w:val="bottom"/>
            <w:hideMark/>
          </w:tcPr>
          <w:p w14:paraId="10BFE1BD"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20</w:t>
            </w:r>
          </w:p>
        </w:tc>
        <w:tc>
          <w:tcPr>
            <w:tcW w:w="331" w:type="pct"/>
            <w:shd w:val="clear" w:color="auto" w:fill="auto"/>
            <w:vAlign w:val="bottom"/>
            <w:hideMark/>
          </w:tcPr>
          <w:p w14:paraId="2C43CE9A"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20</w:t>
            </w:r>
          </w:p>
        </w:tc>
        <w:tc>
          <w:tcPr>
            <w:tcW w:w="331" w:type="pct"/>
            <w:shd w:val="clear" w:color="auto" w:fill="auto"/>
            <w:vAlign w:val="bottom"/>
            <w:hideMark/>
          </w:tcPr>
          <w:p w14:paraId="4059B39A"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30</w:t>
            </w:r>
          </w:p>
        </w:tc>
        <w:tc>
          <w:tcPr>
            <w:tcW w:w="331" w:type="pct"/>
            <w:shd w:val="clear" w:color="auto" w:fill="auto"/>
            <w:vAlign w:val="bottom"/>
            <w:hideMark/>
          </w:tcPr>
          <w:p w14:paraId="4C4BE3A0"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1668524F"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3B2A6ABB"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654D4D17"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61935E4B"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331" w:type="pct"/>
            <w:shd w:val="clear" w:color="auto" w:fill="auto"/>
            <w:vAlign w:val="bottom"/>
            <w:hideMark/>
          </w:tcPr>
          <w:p w14:paraId="6D955582"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40</w:t>
            </w:r>
          </w:p>
        </w:tc>
        <w:tc>
          <w:tcPr>
            <w:tcW w:w="656" w:type="pct"/>
            <w:shd w:val="clear" w:color="auto" w:fill="auto"/>
            <w:vAlign w:val="bottom"/>
            <w:hideMark/>
          </w:tcPr>
          <w:p w14:paraId="14FE5C82"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60</w:t>
            </w:r>
          </w:p>
        </w:tc>
      </w:tr>
      <w:tr w:rsidR="00C55C33" w:rsidRPr="00873AD9" w14:paraId="15332D5C" w14:textId="77777777" w:rsidTr="00C55C33">
        <w:trPr>
          <w:trHeight w:val="20"/>
        </w:trPr>
        <w:tc>
          <w:tcPr>
            <w:tcW w:w="708" w:type="pct"/>
            <w:shd w:val="clear" w:color="auto" w:fill="auto"/>
            <w:vAlign w:val="bottom"/>
            <w:hideMark/>
          </w:tcPr>
          <w:p w14:paraId="2620BF22" w14:textId="77777777" w:rsidR="00C55C33" w:rsidRPr="00873AD9" w:rsidRDefault="00C55C33" w:rsidP="00873AD9">
            <w:pPr>
              <w:rPr>
                <w:rFonts w:ascii="Calibri" w:eastAsia="Times New Roman" w:hAnsi="Calibri"/>
                <w:color w:val="000000"/>
                <w:sz w:val="22"/>
                <w:szCs w:val="22"/>
              </w:rPr>
            </w:pPr>
            <w:r w:rsidRPr="00873AD9">
              <w:rPr>
                <w:rFonts w:ascii="Calibri" w:eastAsia="Times New Roman" w:hAnsi="Calibri"/>
                <w:color w:val="000000"/>
                <w:sz w:val="22"/>
                <w:szCs w:val="22"/>
              </w:rPr>
              <w:t>Periodicity and timeliness</w:t>
            </w:r>
          </w:p>
        </w:tc>
        <w:tc>
          <w:tcPr>
            <w:tcW w:w="331" w:type="pct"/>
            <w:shd w:val="clear" w:color="auto" w:fill="auto"/>
            <w:vAlign w:val="bottom"/>
            <w:hideMark/>
          </w:tcPr>
          <w:p w14:paraId="51514A1A"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53 </w:t>
            </w:r>
          </w:p>
        </w:tc>
        <w:tc>
          <w:tcPr>
            <w:tcW w:w="331" w:type="pct"/>
            <w:shd w:val="clear" w:color="auto" w:fill="auto"/>
            <w:vAlign w:val="bottom"/>
            <w:hideMark/>
          </w:tcPr>
          <w:p w14:paraId="36949D9D"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53 </w:t>
            </w:r>
          </w:p>
        </w:tc>
        <w:tc>
          <w:tcPr>
            <w:tcW w:w="331" w:type="pct"/>
            <w:shd w:val="clear" w:color="auto" w:fill="auto"/>
            <w:vAlign w:val="bottom"/>
            <w:hideMark/>
          </w:tcPr>
          <w:p w14:paraId="7E6F6586"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57 </w:t>
            </w:r>
          </w:p>
        </w:tc>
        <w:tc>
          <w:tcPr>
            <w:tcW w:w="331" w:type="pct"/>
            <w:shd w:val="clear" w:color="auto" w:fill="auto"/>
            <w:vAlign w:val="bottom"/>
            <w:hideMark/>
          </w:tcPr>
          <w:p w14:paraId="1296CF8D"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63 </w:t>
            </w:r>
          </w:p>
        </w:tc>
        <w:tc>
          <w:tcPr>
            <w:tcW w:w="331" w:type="pct"/>
            <w:shd w:val="clear" w:color="auto" w:fill="auto"/>
            <w:vAlign w:val="bottom"/>
            <w:hideMark/>
          </w:tcPr>
          <w:p w14:paraId="3EA51017"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67 </w:t>
            </w:r>
          </w:p>
        </w:tc>
        <w:tc>
          <w:tcPr>
            <w:tcW w:w="331" w:type="pct"/>
            <w:shd w:val="clear" w:color="auto" w:fill="auto"/>
            <w:vAlign w:val="bottom"/>
            <w:hideMark/>
          </w:tcPr>
          <w:p w14:paraId="5D672137"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70 </w:t>
            </w:r>
          </w:p>
        </w:tc>
        <w:tc>
          <w:tcPr>
            <w:tcW w:w="331" w:type="pct"/>
            <w:shd w:val="clear" w:color="auto" w:fill="auto"/>
            <w:vAlign w:val="bottom"/>
            <w:hideMark/>
          </w:tcPr>
          <w:p w14:paraId="5872132B"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77 </w:t>
            </w:r>
          </w:p>
        </w:tc>
        <w:tc>
          <w:tcPr>
            <w:tcW w:w="331" w:type="pct"/>
            <w:shd w:val="clear" w:color="auto" w:fill="auto"/>
            <w:vAlign w:val="bottom"/>
            <w:hideMark/>
          </w:tcPr>
          <w:p w14:paraId="2B5650CF"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73 </w:t>
            </w:r>
          </w:p>
        </w:tc>
        <w:tc>
          <w:tcPr>
            <w:tcW w:w="331" w:type="pct"/>
            <w:shd w:val="clear" w:color="auto" w:fill="auto"/>
            <w:vAlign w:val="bottom"/>
            <w:hideMark/>
          </w:tcPr>
          <w:p w14:paraId="2966D62A"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70 </w:t>
            </w:r>
          </w:p>
        </w:tc>
        <w:tc>
          <w:tcPr>
            <w:tcW w:w="331" w:type="pct"/>
            <w:shd w:val="clear" w:color="auto" w:fill="auto"/>
            <w:vAlign w:val="bottom"/>
            <w:hideMark/>
          </w:tcPr>
          <w:p w14:paraId="6932CF3D"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70 </w:t>
            </w:r>
          </w:p>
        </w:tc>
        <w:tc>
          <w:tcPr>
            <w:tcW w:w="331" w:type="pct"/>
            <w:shd w:val="clear" w:color="auto" w:fill="auto"/>
            <w:vAlign w:val="bottom"/>
            <w:hideMark/>
          </w:tcPr>
          <w:p w14:paraId="5D454A06"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 xml:space="preserve"> 73 </w:t>
            </w:r>
          </w:p>
        </w:tc>
        <w:tc>
          <w:tcPr>
            <w:tcW w:w="656" w:type="pct"/>
            <w:shd w:val="clear" w:color="auto" w:fill="auto"/>
            <w:vAlign w:val="bottom"/>
            <w:hideMark/>
          </w:tcPr>
          <w:p w14:paraId="4635B37A" w14:textId="77777777" w:rsidR="00C55C33" w:rsidRPr="00873AD9" w:rsidRDefault="00C55C33" w:rsidP="00873AD9">
            <w:pPr>
              <w:jc w:val="right"/>
              <w:rPr>
                <w:rFonts w:ascii="Calibri" w:eastAsia="Times New Roman" w:hAnsi="Calibri"/>
                <w:color w:val="000000"/>
                <w:sz w:val="22"/>
                <w:szCs w:val="22"/>
              </w:rPr>
            </w:pPr>
            <w:r w:rsidRPr="00873AD9">
              <w:rPr>
                <w:rFonts w:ascii="Calibri" w:eastAsia="Times New Roman" w:hAnsi="Calibri"/>
                <w:color w:val="000000"/>
                <w:sz w:val="22"/>
                <w:szCs w:val="22"/>
              </w:rPr>
              <w:t>90</w:t>
            </w:r>
          </w:p>
        </w:tc>
      </w:tr>
    </w:tbl>
    <w:p w14:paraId="675FD452" w14:textId="77777777" w:rsidR="00751BA3" w:rsidRDefault="00751BA3" w:rsidP="00751BA3"/>
    <w:p w14:paraId="62614CF1" w14:textId="77777777" w:rsidR="00751BA3" w:rsidRDefault="00751BA3">
      <w:pPr>
        <w:spacing w:after="200" w:line="312" w:lineRule="auto"/>
        <w:rPr>
          <w:lang w:val="en-GB"/>
        </w:rPr>
      </w:pPr>
      <w:r>
        <w:rPr>
          <w:lang w:val="en-GB"/>
        </w:rPr>
        <w:br w:type="page"/>
      </w:r>
    </w:p>
    <w:p w14:paraId="49D19CC1" w14:textId="77777777" w:rsidR="00B748C3" w:rsidRDefault="00B748C3">
      <w:pPr>
        <w:spacing w:after="200" w:line="312" w:lineRule="auto"/>
        <w:rPr>
          <w:lang w:val="en-GB"/>
        </w:rPr>
        <w:sectPr w:rsidR="00B748C3" w:rsidSect="00004C5E">
          <w:pgSz w:w="11900" w:h="16840" w:orient="landscape" w:code="9"/>
          <w:pgMar w:top="1800" w:right="1440" w:bottom="1800" w:left="1440" w:header="720" w:footer="720" w:gutter="0"/>
          <w:cols w:space="720"/>
          <w:titlePg/>
          <w:docGrid w:linePitch="360"/>
          <w:printerSettings r:id="rId57"/>
        </w:sectPr>
      </w:pPr>
    </w:p>
    <w:p w14:paraId="097784D6" w14:textId="42E29379" w:rsidR="00D4266E" w:rsidRPr="00FE5C2E" w:rsidRDefault="00CA701A" w:rsidP="00060715">
      <w:pPr>
        <w:pStyle w:val="Heading2"/>
      </w:pPr>
      <w:bookmarkStart w:id="84" w:name="_Ref428705413"/>
      <w:bookmarkStart w:id="85" w:name="_Ref428705415"/>
      <w:bookmarkStart w:id="86" w:name="_Toc457162630"/>
      <w:r>
        <w:rPr>
          <w:rStyle w:val="Emphasis"/>
        </w:rPr>
        <w:lastRenderedPageBreak/>
        <w:t>Attachment C</w:t>
      </w:r>
      <w:r w:rsidR="00D4266E" w:rsidRPr="00FE5C2E">
        <w:rPr>
          <w:rStyle w:val="Emphasis"/>
        </w:rPr>
        <w:t>: “Basics first”</w:t>
      </w:r>
      <w:bookmarkEnd w:id="84"/>
      <w:bookmarkEnd w:id="85"/>
      <w:bookmarkEnd w:id="86"/>
    </w:p>
    <w:p w14:paraId="492FCEB9" w14:textId="56608750" w:rsidR="00C62DAC" w:rsidRPr="00FE5C2E" w:rsidRDefault="00B748C3" w:rsidP="00EC65C8">
      <w:pPr>
        <w:pStyle w:val="Numberedpara"/>
      </w:pPr>
      <w:r>
        <w:rPr>
          <w:b/>
        </w:rPr>
        <w:t>T</w:t>
      </w:r>
      <w:r w:rsidR="00C62DAC" w:rsidRPr="00FE5C2E">
        <w:rPr>
          <w:b/>
        </w:rPr>
        <w:t>he foundation theory for change</w:t>
      </w:r>
      <w:r w:rsidR="00F7586E">
        <w:t xml:space="preserve"> and/or design principles</w:t>
      </w:r>
      <w:r>
        <w:t xml:space="preserve"> presented here </w:t>
      </w:r>
      <w:r w:rsidR="00F7586E">
        <w:t>help to establish</w:t>
      </w:r>
      <w:r w:rsidR="00C62DAC" w:rsidRPr="00FE5C2E">
        <w:t xml:space="preserve"> a performance management culture within Govern</w:t>
      </w:r>
      <w:r w:rsidR="002734AF">
        <w:t>ment. The theory has</w:t>
      </w:r>
      <w:r w:rsidR="00C62DAC" w:rsidRPr="00FE5C2E">
        <w:t xml:space="preserve"> five mutually reinforcing idealised approaches to delivering aid effectively and programming PFM reforms. These five components are: </w:t>
      </w:r>
    </w:p>
    <w:p w14:paraId="4A1A65E6" w14:textId="77777777" w:rsidR="00C62DAC" w:rsidRPr="00FE5C2E" w:rsidRDefault="00C62DAC" w:rsidP="00333F8B">
      <w:pPr>
        <w:pStyle w:val="Numberedbullet"/>
      </w:pPr>
      <w:r w:rsidRPr="00FE5C2E">
        <w:rPr>
          <w:b/>
          <w:i/>
        </w:rPr>
        <w:t>Conform to aid effectiveness principles</w:t>
      </w:r>
      <w:r w:rsidRPr="00FE5C2E">
        <w:t xml:space="preserve"> of ownership, alignment, harmonisation, managing for results, mutual accountability and the G7+ TRUST and FOCUS priorities; </w:t>
      </w:r>
    </w:p>
    <w:p w14:paraId="71C40876" w14:textId="77777777" w:rsidR="00C62DAC" w:rsidRPr="00FE5C2E" w:rsidRDefault="00C62DAC" w:rsidP="00333F8B">
      <w:pPr>
        <w:pStyle w:val="Numberedbullet"/>
      </w:pPr>
      <w:r w:rsidRPr="00FE5C2E">
        <w:rPr>
          <w:b/>
          <w:i/>
        </w:rPr>
        <w:t>Follow the Basics First and Platform Approach</w:t>
      </w:r>
      <w:r w:rsidRPr="00FE5C2E">
        <w:t xml:space="preserve"> to help prioritize and sequencing PFM reform activities over time; </w:t>
      </w:r>
    </w:p>
    <w:p w14:paraId="088583E4" w14:textId="77777777" w:rsidR="00C62DAC" w:rsidRPr="00FE5C2E" w:rsidRDefault="00C62DAC" w:rsidP="00333F8B">
      <w:pPr>
        <w:pStyle w:val="Numberedbullet"/>
      </w:pPr>
      <w:r w:rsidRPr="002734AF">
        <w:rPr>
          <w:b/>
        </w:rPr>
        <w:t>Target the weakest links in the continuous improvement cycle</w:t>
      </w:r>
      <w:r w:rsidRPr="00FE5C2E">
        <w:t xml:space="preserve"> to ensure the system is self-improving; </w:t>
      </w:r>
    </w:p>
    <w:p w14:paraId="05218066" w14:textId="77777777" w:rsidR="00C62DAC" w:rsidRPr="00FE5C2E" w:rsidRDefault="00C62DAC" w:rsidP="00333F8B">
      <w:pPr>
        <w:pStyle w:val="Numberedbullet"/>
      </w:pPr>
      <w:r w:rsidRPr="002734AF">
        <w:rPr>
          <w:b/>
        </w:rPr>
        <w:t xml:space="preserve">Utilise analytical techniques to continually assess technical and political feasibility of reforms </w:t>
      </w:r>
      <w:r w:rsidRPr="00FE5C2E">
        <w:t xml:space="preserve">and reform options; and </w:t>
      </w:r>
    </w:p>
    <w:p w14:paraId="71476FDD" w14:textId="77777777" w:rsidR="00C62DAC" w:rsidRPr="00FE5C2E" w:rsidRDefault="00C62DAC" w:rsidP="00333F8B">
      <w:pPr>
        <w:pStyle w:val="Numberedbullet"/>
      </w:pPr>
      <w:r w:rsidRPr="00FE5C2E">
        <w:rPr>
          <w:b/>
          <w:i/>
        </w:rPr>
        <w:t>Introduce a Team-based Performance Management culture</w:t>
      </w:r>
      <w:r w:rsidRPr="00FE5C2E">
        <w:t xml:space="preserve"> starting with integrating team-based performance management into reform program design and monitoring and evaluation systems.</w:t>
      </w:r>
    </w:p>
    <w:p w14:paraId="5DC7D5B0" w14:textId="6204DB35" w:rsidR="00D4266E" w:rsidRDefault="00D4266E" w:rsidP="00D4266E">
      <w:pPr>
        <w:rPr>
          <w:b/>
          <w:color w:val="F75952" w:themeColor="accent1"/>
          <w:lang w:val="en-GB"/>
        </w:rPr>
      </w:pPr>
    </w:p>
    <w:p w14:paraId="42E4B6E9" w14:textId="77777777" w:rsidR="001A657C" w:rsidRPr="00FE5C2E" w:rsidRDefault="001A657C" w:rsidP="00D4266E">
      <w:pPr>
        <w:rPr>
          <w:lang w:val="en-GB"/>
        </w:rPr>
      </w:pPr>
    </w:p>
    <w:p w14:paraId="565DA544" w14:textId="27634485" w:rsidR="00B16398" w:rsidRDefault="00B16398">
      <w:pPr>
        <w:spacing w:after="200" w:line="312" w:lineRule="auto"/>
        <w:rPr>
          <w:lang w:val="en-GB"/>
        </w:rPr>
      </w:pPr>
      <w:r>
        <w:rPr>
          <w:lang w:val="en-GB"/>
        </w:rPr>
        <w:br w:type="page"/>
      </w:r>
    </w:p>
    <w:p w14:paraId="5CA83882" w14:textId="4570E323" w:rsidR="00B16398" w:rsidRPr="00FE5C2E" w:rsidRDefault="00CA701A" w:rsidP="00060715">
      <w:pPr>
        <w:pStyle w:val="Heading2"/>
      </w:pPr>
      <w:bookmarkStart w:id="87" w:name="_Toc457162631"/>
      <w:r>
        <w:rPr>
          <w:rStyle w:val="Emphasis"/>
        </w:rPr>
        <w:lastRenderedPageBreak/>
        <w:t>Attachment D</w:t>
      </w:r>
      <w:r w:rsidR="00B16398" w:rsidRPr="00FE5C2E">
        <w:rPr>
          <w:rStyle w:val="Emphasis"/>
        </w:rPr>
        <w:t xml:space="preserve">: </w:t>
      </w:r>
      <w:r w:rsidR="00B16398">
        <w:rPr>
          <w:rStyle w:val="Emphasis"/>
        </w:rPr>
        <w:t>Budget Support Policy Framework</w:t>
      </w:r>
      <w:bookmarkEnd w:id="87"/>
    </w:p>
    <w:p w14:paraId="375A2F08" w14:textId="77777777" w:rsidR="001B3691" w:rsidRPr="00E72F5D" w:rsidRDefault="001B3691" w:rsidP="001B3691">
      <w:pPr>
        <w:pStyle w:val="Numberedpara"/>
      </w:pPr>
      <w:r w:rsidRPr="00EC65C8">
        <w:rPr>
          <w:b/>
        </w:rPr>
        <w:t>The purpose of this section is to provide a</w:t>
      </w:r>
      <w:r>
        <w:rPr>
          <w:b/>
        </w:rPr>
        <w:t>n outline</w:t>
      </w:r>
      <w:r w:rsidRPr="00EC65C8">
        <w:rPr>
          <w:b/>
        </w:rPr>
        <w:t xml:space="preserve"> </w:t>
      </w:r>
      <w:r>
        <w:rPr>
          <w:b/>
        </w:rPr>
        <w:t>of a proposal by</w:t>
      </w:r>
      <w:r w:rsidRPr="00EC65C8">
        <w:rPr>
          <w:b/>
        </w:rPr>
        <w:t xml:space="preserve"> the Government </w:t>
      </w:r>
      <w:r>
        <w:rPr>
          <w:b/>
        </w:rPr>
        <w:t>to establish a f</w:t>
      </w:r>
      <w:r w:rsidRPr="00EC65C8">
        <w:rPr>
          <w:b/>
        </w:rPr>
        <w:t>ramework</w:t>
      </w:r>
      <w:r w:rsidRPr="00E72F5D">
        <w:t xml:space="preserve"> to support implementation of the Public Fina</w:t>
      </w:r>
      <w:r>
        <w:t>ncial Management Roadmap II. T</w:t>
      </w:r>
      <w:r w:rsidRPr="00E72F5D">
        <w:t>his PFMRII Program Budget Support Framework (the Framework) form</w:t>
      </w:r>
      <w:r>
        <w:t>s</w:t>
      </w:r>
      <w:r w:rsidRPr="00E72F5D">
        <w:t xml:space="preserve"> a part of the Government’s broader foreign assistance and aid management policy. This section provides a short summary of key areas for the Government and development partners to discuss with the view to securing in-principle agreements. Once reach</w:t>
      </w:r>
      <w:r>
        <w:t>ed, these future agreements could</w:t>
      </w:r>
      <w:r w:rsidRPr="00E72F5D">
        <w:t xml:space="preserve"> form the basis of more formal financing instruments (grant agreements) made with individual development partners who wish to participate in the budget support arrangements for the PFMRII. </w:t>
      </w:r>
    </w:p>
    <w:p w14:paraId="19CB10D6" w14:textId="079B8E97" w:rsidR="001B3691" w:rsidRPr="00EC65C8" w:rsidRDefault="001B3691" w:rsidP="001B3691">
      <w:pPr>
        <w:pStyle w:val="Numberedpara"/>
      </w:pPr>
      <w:r w:rsidRPr="00EC65C8">
        <w:rPr>
          <w:b/>
        </w:rPr>
        <w:t>The Frame</w:t>
      </w:r>
      <w:r>
        <w:rPr>
          <w:b/>
        </w:rPr>
        <w:t>work will be subject to</w:t>
      </w:r>
      <w:r w:rsidRPr="00EC65C8">
        <w:rPr>
          <w:b/>
        </w:rPr>
        <w:t xml:space="preserve"> independent</w:t>
      </w:r>
      <w:r w:rsidRPr="00E72F5D">
        <w:t xml:space="preserve"> </w:t>
      </w:r>
      <w:r w:rsidRPr="00EC65C8">
        <w:rPr>
          <w:b/>
        </w:rPr>
        <w:t>assessments</w:t>
      </w:r>
      <w:r w:rsidR="002734AF">
        <w:t xml:space="preserve"> that general pre</w:t>
      </w:r>
      <w:r w:rsidRPr="00E72F5D">
        <w:t xml:space="preserve">conditions or eligibility criteria for budget support set by different development partners </w:t>
      </w:r>
      <w:r w:rsidR="002734AF">
        <w:t>are in place</w:t>
      </w:r>
      <w:r w:rsidRPr="00E72F5D">
        <w:t>. While the precise preconditions will need to be negotiated, they can be broadly summarized in the following five areas:</w:t>
      </w:r>
    </w:p>
    <w:p w14:paraId="1E51ADCC" w14:textId="77777777" w:rsidR="001B3691" w:rsidRPr="00E72F5D" w:rsidRDefault="001B3691" w:rsidP="001B3691">
      <w:pPr>
        <w:pStyle w:val="ListParagraph"/>
        <w:numPr>
          <w:ilvl w:val="0"/>
          <w:numId w:val="26"/>
        </w:numPr>
        <w:autoSpaceDE w:val="0"/>
        <w:autoSpaceDN w:val="0"/>
        <w:adjustRightInd w:val="0"/>
        <w:rPr>
          <w:sz w:val="22"/>
          <w:szCs w:val="22"/>
          <w:lang w:val="en-GB"/>
        </w:rPr>
      </w:pPr>
      <w:r w:rsidRPr="00E72F5D">
        <w:rPr>
          <w:b/>
          <w:bCs/>
          <w:sz w:val="22"/>
          <w:szCs w:val="22"/>
          <w:lang w:val="en-GB"/>
        </w:rPr>
        <w:t>Macroeconomic stability:</w:t>
      </w:r>
      <w:r w:rsidRPr="00E72F5D">
        <w:rPr>
          <w:sz w:val="22"/>
          <w:szCs w:val="22"/>
          <w:lang w:val="en-GB"/>
        </w:rPr>
        <w:t xml:space="preserve"> There must be a credible </w:t>
      </w:r>
      <w:r w:rsidRPr="00E72F5D">
        <w:rPr>
          <w:bCs/>
          <w:iCs/>
          <w:sz w:val="22"/>
          <w:szCs w:val="22"/>
          <w:lang w:val="en-GB"/>
        </w:rPr>
        <w:t>plan for macroeconomic and fiscal sustainability</w:t>
      </w:r>
      <w:r w:rsidRPr="00E72F5D">
        <w:rPr>
          <w:sz w:val="22"/>
          <w:szCs w:val="22"/>
          <w:lang w:val="en-GB"/>
        </w:rPr>
        <w:t xml:space="preserve"> which is reflected in a Medium Term Macro-Fiscal Framework;</w:t>
      </w:r>
      <w:r w:rsidRPr="00E72F5D">
        <w:rPr>
          <w:sz w:val="22"/>
          <w:szCs w:val="22"/>
          <w:lang w:val="en-GB"/>
        </w:rPr>
        <w:br/>
      </w:r>
    </w:p>
    <w:p w14:paraId="3E852C99" w14:textId="77777777" w:rsidR="001B3691" w:rsidRPr="00E72F5D" w:rsidRDefault="001B3691" w:rsidP="001B3691">
      <w:pPr>
        <w:pStyle w:val="ListParagraph"/>
        <w:numPr>
          <w:ilvl w:val="0"/>
          <w:numId w:val="26"/>
        </w:numPr>
        <w:autoSpaceDE w:val="0"/>
        <w:autoSpaceDN w:val="0"/>
        <w:adjustRightInd w:val="0"/>
        <w:rPr>
          <w:sz w:val="22"/>
          <w:szCs w:val="22"/>
          <w:lang w:val="en-GB"/>
        </w:rPr>
      </w:pPr>
      <w:r w:rsidRPr="00E72F5D">
        <w:rPr>
          <w:b/>
          <w:bCs/>
          <w:sz w:val="22"/>
          <w:szCs w:val="22"/>
          <w:lang w:val="en-GB"/>
        </w:rPr>
        <w:t>A strategy for reform:</w:t>
      </w:r>
      <w:r w:rsidRPr="00E72F5D">
        <w:rPr>
          <w:sz w:val="22"/>
          <w:szCs w:val="22"/>
          <w:lang w:val="en-GB"/>
        </w:rPr>
        <w:t xml:space="preserve"> There needs to be a credible</w:t>
      </w:r>
      <w:r w:rsidRPr="00E72F5D">
        <w:rPr>
          <w:bCs/>
          <w:iCs/>
          <w:sz w:val="22"/>
          <w:szCs w:val="22"/>
          <w:lang w:val="en-GB"/>
        </w:rPr>
        <w:t xml:space="preserve"> plan</w:t>
      </w:r>
      <w:r w:rsidRPr="00E72F5D">
        <w:rPr>
          <w:sz w:val="22"/>
          <w:szCs w:val="22"/>
          <w:lang w:val="en-GB"/>
        </w:rPr>
        <w:t xml:space="preserve"> </w:t>
      </w:r>
      <w:r w:rsidRPr="00E72F5D">
        <w:rPr>
          <w:bCs/>
          <w:iCs/>
          <w:sz w:val="22"/>
          <w:szCs w:val="22"/>
          <w:lang w:val="en-GB"/>
        </w:rPr>
        <w:t>for Public Financial Management reforms over at least 5 years</w:t>
      </w:r>
      <w:r w:rsidRPr="00E72F5D">
        <w:rPr>
          <w:b/>
          <w:bCs/>
          <w:iCs/>
          <w:sz w:val="22"/>
          <w:szCs w:val="22"/>
          <w:lang w:val="en-GB"/>
        </w:rPr>
        <w:t xml:space="preserve"> </w:t>
      </w:r>
      <w:r w:rsidRPr="00E72F5D">
        <w:rPr>
          <w:sz w:val="22"/>
          <w:szCs w:val="22"/>
          <w:lang w:val="en-GB"/>
        </w:rPr>
        <w:t xml:space="preserve">that supports the broader policy objectives of sustainable and inclusive growth, democratic governance and poverty reduction; </w:t>
      </w:r>
      <w:r w:rsidRPr="00E72F5D">
        <w:rPr>
          <w:sz w:val="22"/>
          <w:szCs w:val="22"/>
          <w:lang w:val="en-GB"/>
        </w:rPr>
        <w:br/>
      </w:r>
    </w:p>
    <w:p w14:paraId="160CB9FC" w14:textId="77777777" w:rsidR="001B3691" w:rsidRPr="00E72F5D" w:rsidRDefault="001B3691" w:rsidP="001B3691">
      <w:pPr>
        <w:pStyle w:val="ListParagraph"/>
        <w:numPr>
          <w:ilvl w:val="0"/>
          <w:numId w:val="26"/>
        </w:numPr>
        <w:autoSpaceDE w:val="0"/>
        <w:autoSpaceDN w:val="0"/>
        <w:adjustRightInd w:val="0"/>
        <w:rPr>
          <w:sz w:val="22"/>
          <w:szCs w:val="22"/>
          <w:lang w:val="en-GB"/>
        </w:rPr>
      </w:pPr>
      <w:r w:rsidRPr="00E72F5D">
        <w:rPr>
          <w:b/>
          <w:bCs/>
          <w:sz w:val="22"/>
          <w:szCs w:val="22"/>
          <w:lang w:val="en-GB"/>
        </w:rPr>
        <w:t>Budget transparency:</w:t>
      </w:r>
      <w:r w:rsidRPr="00E72F5D">
        <w:rPr>
          <w:sz w:val="22"/>
          <w:szCs w:val="22"/>
          <w:lang w:val="en-GB"/>
        </w:rPr>
        <w:t xml:space="preserve"> The Government must publish the budget as agreed by the national parliament and include the medium term fiscal outlook and estimates for Government revenue and expenditure for at least the current and two forward years.  The Government must also commit to produce timely and complete reports on budget outcomes for previous years expenditure that can be compared to the original budget as published; </w:t>
      </w:r>
      <w:r w:rsidRPr="00E72F5D">
        <w:rPr>
          <w:sz w:val="22"/>
          <w:szCs w:val="22"/>
          <w:lang w:val="en-GB"/>
        </w:rPr>
        <w:br/>
      </w:r>
    </w:p>
    <w:p w14:paraId="0147A835" w14:textId="77777777" w:rsidR="001B3691" w:rsidRPr="00E72F5D" w:rsidRDefault="001B3691" w:rsidP="001B3691">
      <w:pPr>
        <w:pStyle w:val="ListParagraph"/>
        <w:numPr>
          <w:ilvl w:val="0"/>
          <w:numId w:val="26"/>
        </w:numPr>
        <w:autoSpaceDE w:val="0"/>
        <w:autoSpaceDN w:val="0"/>
        <w:adjustRightInd w:val="0"/>
        <w:rPr>
          <w:sz w:val="22"/>
          <w:szCs w:val="22"/>
          <w:lang w:val="en-GB"/>
        </w:rPr>
      </w:pPr>
      <w:r w:rsidRPr="00E72F5D">
        <w:rPr>
          <w:b/>
          <w:bCs/>
          <w:sz w:val="22"/>
          <w:szCs w:val="22"/>
          <w:lang w:val="en-GB"/>
        </w:rPr>
        <w:t>Political Commitment:</w:t>
      </w:r>
      <w:r w:rsidRPr="00E72F5D">
        <w:rPr>
          <w:sz w:val="22"/>
          <w:szCs w:val="22"/>
          <w:lang w:val="en-GB"/>
        </w:rPr>
        <w:t xml:space="preserve"> The reform planning and implementation processes for PFMRII must have consistent and public support from the President and the Cabinet; and</w:t>
      </w:r>
      <w:r w:rsidRPr="00E72F5D">
        <w:rPr>
          <w:sz w:val="22"/>
          <w:szCs w:val="22"/>
          <w:lang w:val="en-GB"/>
        </w:rPr>
        <w:br/>
      </w:r>
    </w:p>
    <w:p w14:paraId="350C9A73" w14:textId="77777777" w:rsidR="001B3691" w:rsidRPr="00E72F5D" w:rsidRDefault="001B3691" w:rsidP="001B3691">
      <w:pPr>
        <w:pStyle w:val="ListParagraph"/>
        <w:numPr>
          <w:ilvl w:val="0"/>
          <w:numId w:val="26"/>
        </w:numPr>
        <w:autoSpaceDE w:val="0"/>
        <w:autoSpaceDN w:val="0"/>
        <w:adjustRightInd w:val="0"/>
        <w:rPr>
          <w:sz w:val="22"/>
          <w:szCs w:val="22"/>
          <w:lang w:val="en-GB"/>
        </w:rPr>
      </w:pPr>
      <w:r w:rsidRPr="00E72F5D">
        <w:rPr>
          <w:b/>
          <w:bCs/>
          <w:sz w:val="22"/>
          <w:szCs w:val="22"/>
          <w:lang w:val="en-GB"/>
        </w:rPr>
        <w:t>Risk Management:</w:t>
      </w:r>
      <w:r w:rsidRPr="00E72F5D">
        <w:rPr>
          <w:sz w:val="22"/>
          <w:szCs w:val="22"/>
          <w:lang w:val="en-GB"/>
        </w:rPr>
        <w:t xml:space="preserve"> The level of fiduciary risk from development partners using Afghan national systems must not be significantly higher than using alternative arrangements that by-pass country systems. The level of development risk of development partners using country systems must be unambiguously lower than alternative arrangements. </w:t>
      </w:r>
    </w:p>
    <w:p w14:paraId="3F8DF32A" w14:textId="77777777" w:rsidR="001B3691" w:rsidRPr="00FA3306" w:rsidRDefault="001B3691" w:rsidP="001B3691">
      <w:pPr>
        <w:jc w:val="both"/>
        <w:rPr>
          <w:b/>
          <w:bCs/>
          <w:sz w:val="2"/>
          <w:szCs w:val="2"/>
          <w:u w:val="single"/>
          <w:lang w:val="en-GB"/>
        </w:rPr>
      </w:pPr>
    </w:p>
    <w:p w14:paraId="43B658E1" w14:textId="77777777" w:rsidR="001B3691" w:rsidRDefault="001B3691" w:rsidP="001B3691">
      <w:pPr>
        <w:jc w:val="both"/>
        <w:rPr>
          <w:rFonts w:asciiTheme="minorHAnsi" w:hAnsiTheme="minorHAnsi" w:cstheme="minorBidi"/>
          <w:color w:val="5F5F5F" w:themeColor="text2" w:themeTint="BF"/>
          <w:sz w:val="22"/>
          <w:lang w:val="en-GB" w:eastAsia="ja-JP"/>
        </w:rPr>
      </w:pPr>
    </w:p>
    <w:p w14:paraId="457C7DF7" w14:textId="77777777" w:rsidR="001B3691" w:rsidRPr="00E72F5D" w:rsidRDefault="001B3691" w:rsidP="001B3691">
      <w:pPr>
        <w:pStyle w:val="Numberedpara"/>
      </w:pPr>
      <w:r w:rsidRPr="00EC65C8">
        <w:rPr>
          <w:b/>
        </w:rPr>
        <w:lastRenderedPageBreak/>
        <w:t xml:space="preserve">The partnership principles developed by the g7+ and set out in the New Deal provide a good basis </w:t>
      </w:r>
      <w:r w:rsidRPr="00E72F5D">
        <w:t xml:space="preserve">for partnerships between the Government and donors: </w:t>
      </w:r>
    </w:p>
    <w:p w14:paraId="53F9387B" w14:textId="77777777" w:rsidR="001B3691" w:rsidRPr="007574CE" w:rsidRDefault="001B3691" w:rsidP="001B3691">
      <w:pPr>
        <w:pStyle w:val="Numberedbullet"/>
      </w:pPr>
      <w:r w:rsidRPr="00EC65C8">
        <w:rPr>
          <w:b/>
          <w:iCs/>
          <w:color w:val="00B050"/>
        </w:rPr>
        <w:t>FOCUS</w:t>
      </w:r>
      <w:r w:rsidRPr="00EC65C8">
        <w:rPr>
          <w:color w:val="00B050"/>
        </w:rPr>
        <w:t xml:space="preserve"> </w:t>
      </w:r>
      <w:r w:rsidRPr="007574CE">
        <w:t xml:space="preserve">on supporting inclusive country-led and country-owned transitions out of fragility (especially support for one vision, one plan, political dialogue and leadership); and </w:t>
      </w:r>
    </w:p>
    <w:p w14:paraId="1AF8B907" w14:textId="77777777" w:rsidR="001B3691" w:rsidRPr="00E72F5D" w:rsidRDefault="001B3691" w:rsidP="001B3691">
      <w:pPr>
        <w:pStyle w:val="Numberedbullet"/>
      </w:pPr>
      <w:r w:rsidRPr="00EC65C8">
        <w:rPr>
          <w:rStyle w:val="NumberedbulletChar"/>
          <w:b/>
          <w:color w:val="00B050"/>
        </w:rPr>
        <w:t>TRUST</w:t>
      </w:r>
      <w:r w:rsidRPr="00EC65C8">
        <w:rPr>
          <w:color w:val="00B050"/>
        </w:rPr>
        <w:t xml:space="preserve"> </w:t>
      </w:r>
      <w:r w:rsidRPr="007574CE">
        <w:t xml:space="preserve">(Transparency, Risk-sharing, Use and strengthening country systems, Strengthening capacities and Timely and predictable aid) by providing aid and managing resources more effectively and aligning these resources for results. </w:t>
      </w:r>
    </w:p>
    <w:p w14:paraId="52DEFC10" w14:textId="77777777" w:rsidR="001B3691" w:rsidRPr="001A6F6F" w:rsidRDefault="001B3691" w:rsidP="001B3691">
      <w:pPr>
        <w:rPr>
          <w:b/>
        </w:rPr>
      </w:pPr>
    </w:p>
    <w:p w14:paraId="4F78C655" w14:textId="05C92DAB" w:rsidR="001B3691" w:rsidRPr="00FA3306" w:rsidRDefault="001B3691" w:rsidP="001B3691">
      <w:pPr>
        <w:pStyle w:val="Boxheader"/>
      </w:pPr>
      <w:bookmarkStart w:id="88" w:name="_Toc457162666"/>
      <w:r w:rsidRPr="00FA3306">
        <w:t>Summary of Design Elements for the Budget Support Framework:</w:t>
      </w:r>
      <w:bookmarkEnd w:id="88"/>
    </w:p>
    <w:p w14:paraId="675D8085" w14:textId="77777777" w:rsidR="001B3691" w:rsidRDefault="001B3691" w:rsidP="001B3691">
      <w:pPr>
        <w:pStyle w:val="BOXBODY"/>
        <w:rPr>
          <w:b w:val="0"/>
        </w:rPr>
      </w:pPr>
      <w:r w:rsidRPr="00EC65C8">
        <w:t xml:space="preserve">Ideally the Government will negotiate a program with a Medium-term, earmarked (program), direct budget support facility </w:t>
      </w:r>
      <w:r w:rsidRPr="00EC65C8">
        <w:rPr>
          <w:b w:val="0"/>
        </w:rPr>
        <w:t xml:space="preserve">following a programmatic structure and utilizing general and specific but floating conditions with performance based but untargeted financial assistance following a system of fixed and variable tranches. </w:t>
      </w:r>
    </w:p>
    <w:p w14:paraId="071E6F78" w14:textId="5F4E43C2" w:rsidR="001B3691" w:rsidRDefault="001B3691" w:rsidP="001B3691">
      <w:pPr>
        <w:pStyle w:val="BOXBODY"/>
        <w:rPr>
          <w:b w:val="0"/>
        </w:rPr>
      </w:pPr>
      <w:r w:rsidRPr="00EC65C8">
        <w:t>In plain language the Government should seek support from its partners over 5 years, for its rolling plans for fiscal performance improvement under the PFMRII</w:t>
      </w:r>
      <w:r w:rsidRPr="00EC65C8">
        <w:rPr>
          <w:b w:val="0"/>
        </w:rPr>
        <w:t>, using both general and program specific indicators that can be monitored and updated over the period of the program, through performance payments in the form of fixed upfront commitments and variable, performance based payments based on outcomes and outputs achieved.</w:t>
      </w:r>
    </w:p>
    <w:p w14:paraId="588A4FE7" w14:textId="77777777" w:rsidR="00052EBC" w:rsidRPr="00F72D3E" w:rsidRDefault="00052EBC" w:rsidP="001B3691">
      <w:pPr>
        <w:pStyle w:val="BOXBODY"/>
        <w:rPr>
          <w:b w:val="0"/>
          <w:sz w:val="2"/>
        </w:rPr>
      </w:pPr>
    </w:p>
    <w:p w14:paraId="35A707D7" w14:textId="77777777" w:rsidR="001B3691" w:rsidRDefault="001B3691" w:rsidP="001B3691">
      <w:pPr>
        <w:jc w:val="both"/>
        <w:rPr>
          <w:b/>
          <w:bCs/>
          <w:lang w:val="en-GB"/>
        </w:rPr>
      </w:pPr>
    </w:p>
    <w:p w14:paraId="63E49440" w14:textId="7BEC1219" w:rsidR="001B3691" w:rsidRDefault="002734AF" w:rsidP="001B3691">
      <w:pPr>
        <w:pStyle w:val="Numberedpara"/>
      </w:pPr>
      <w:r w:rsidRPr="002734AF">
        <w:rPr>
          <w:b/>
        </w:rPr>
        <w:t>The Government and development partners will need to reach agreement</w:t>
      </w:r>
      <w:r w:rsidRPr="00EC65C8">
        <w:rPr>
          <w:b/>
        </w:rPr>
        <w:t xml:space="preserve"> </w:t>
      </w:r>
      <w:r>
        <w:rPr>
          <w:b/>
        </w:rPr>
        <w:t>on the design elements of</w:t>
      </w:r>
      <w:r w:rsidR="001B3691" w:rsidRPr="00EC65C8">
        <w:rPr>
          <w:b/>
        </w:rPr>
        <w:t xml:space="preserve"> a budget support arrangement</w:t>
      </w:r>
      <w:r w:rsidR="001B3691" w:rsidRPr="00FA3306">
        <w:t xml:space="preserve">. Table 1 provides a brief explanation of </w:t>
      </w:r>
      <w:r>
        <w:t xml:space="preserve">a range of possible </w:t>
      </w:r>
      <w:r w:rsidR="001B3691" w:rsidRPr="00FA3306">
        <w:t>design element</w:t>
      </w:r>
      <w:r>
        <w:t>s</w:t>
      </w:r>
      <w:r w:rsidR="001B3691" w:rsidRPr="00FA3306">
        <w:t xml:space="preserve">. </w:t>
      </w:r>
    </w:p>
    <w:p w14:paraId="53185096" w14:textId="77777777" w:rsidR="001B3691" w:rsidRPr="00FA3306" w:rsidRDefault="001B3691" w:rsidP="001B3691">
      <w:pPr>
        <w:pStyle w:val="Numberedpara"/>
        <w:numPr>
          <w:ilvl w:val="0"/>
          <w:numId w:val="0"/>
        </w:numPr>
      </w:pPr>
    </w:p>
    <w:p w14:paraId="66D87590" w14:textId="274F2B6A" w:rsidR="001B3691" w:rsidRPr="00FA3306" w:rsidRDefault="001B3691" w:rsidP="00DE147D">
      <w:pPr>
        <w:pStyle w:val="TableHeader1"/>
      </w:pPr>
      <w:bookmarkStart w:id="89" w:name="_Toc457162645"/>
      <w:r w:rsidRPr="00FA3306">
        <w:t>Explanations of Sector Budget Support Design Elements</w:t>
      </w:r>
      <w:bookmarkEnd w:id="89"/>
    </w:p>
    <w:tbl>
      <w:tblPr>
        <w:tblStyle w:val="TableGrid"/>
        <w:tblW w:w="9304" w:type="dxa"/>
        <w:tblInd w:w="-95" w:type="dxa"/>
        <w:tblLook w:val="04A0" w:firstRow="1" w:lastRow="0" w:firstColumn="1" w:lastColumn="0" w:noHBand="0" w:noVBand="1"/>
      </w:tblPr>
      <w:tblGrid>
        <w:gridCol w:w="1791"/>
        <w:gridCol w:w="7513"/>
      </w:tblGrid>
      <w:tr w:rsidR="001B3691" w:rsidRPr="00FA3306" w14:paraId="48FDEA1C" w14:textId="77777777" w:rsidTr="008D31F6">
        <w:tc>
          <w:tcPr>
            <w:tcW w:w="1791" w:type="dxa"/>
          </w:tcPr>
          <w:p w14:paraId="192304CF"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t xml:space="preserve">1. Medium-term </w:t>
            </w:r>
            <w:r w:rsidRPr="00EC65C8">
              <w:rPr>
                <w:rFonts w:ascii="Calibri" w:hAnsi="Calibri"/>
                <w:sz w:val="22"/>
                <w:szCs w:val="20"/>
                <w:lang w:val="en-GB"/>
              </w:rPr>
              <w:t>timeframe</w:t>
            </w:r>
          </w:p>
        </w:tc>
        <w:tc>
          <w:tcPr>
            <w:tcW w:w="7513" w:type="dxa"/>
          </w:tcPr>
          <w:p w14:paraId="6F7C3776" w14:textId="4715498B" w:rsidR="001B3691" w:rsidRPr="00EC65C8" w:rsidRDefault="001B3691" w:rsidP="000D04D3">
            <w:pPr>
              <w:ind w:left="72"/>
              <w:rPr>
                <w:rFonts w:ascii="Calibri" w:hAnsi="Calibri"/>
                <w:bCs/>
                <w:sz w:val="22"/>
                <w:szCs w:val="20"/>
                <w:lang w:val="en-GB"/>
              </w:rPr>
            </w:pPr>
            <w:r w:rsidRPr="00EC65C8">
              <w:rPr>
                <w:rFonts w:ascii="Calibri" w:hAnsi="Calibri"/>
                <w:b/>
                <w:bCs/>
                <w:sz w:val="22"/>
                <w:szCs w:val="20"/>
                <w:lang w:val="en-GB"/>
              </w:rPr>
              <w:t>The PFMRII and the subsequent Fiscal Performance Improveme</w:t>
            </w:r>
            <w:r w:rsidR="002734AF">
              <w:rPr>
                <w:rFonts w:ascii="Calibri" w:hAnsi="Calibri"/>
                <w:b/>
                <w:bCs/>
                <w:sz w:val="22"/>
                <w:szCs w:val="20"/>
                <w:lang w:val="en-GB"/>
              </w:rPr>
              <w:t>nt Plan to implement the PFMRII</w:t>
            </w:r>
            <w:r w:rsidRPr="00EC65C8">
              <w:rPr>
                <w:rFonts w:ascii="Calibri" w:hAnsi="Calibri"/>
                <w:bCs/>
                <w:sz w:val="22"/>
                <w:szCs w:val="20"/>
                <w:lang w:val="en-GB"/>
              </w:rPr>
              <w:t xml:space="preserve"> over the next 5 years from 2016 to 2020 (1395 – 1399). Most of the reforms will take multi</w:t>
            </w:r>
            <w:r w:rsidR="002734AF">
              <w:rPr>
                <w:rFonts w:ascii="Calibri" w:hAnsi="Calibri"/>
                <w:bCs/>
                <w:sz w:val="22"/>
                <w:szCs w:val="20"/>
                <w:lang w:val="en-GB"/>
              </w:rPr>
              <w:t>ple years while some will be on</w:t>
            </w:r>
            <w:r w:rsidRPr="00EC65C8">
              <w:rPr>
                <w:rFonts w:ascii="Calibri" w:hAnsi="Calibri"/>
                <w:bCs/>
                <w:sz w:val="22"/>
                <w:szCs w:val="20"/>
                <w:lang w:val="en-GB"/>
              </w:rPr>
              <w:t xml:space="preserve">going after the life of this program. </w:t>
            </w:r>
            <w:r w:rsidR="002734AF">
              <w:rPr>
                <w:rFonts w:ascii="Calibri" w:hAnsi="Calibri"/>
                <w:bCs/>
                <w:sz w:val="22"/>
                <w:szCs w:val="20"/>
                <w:lang w:val="en-GB"/>
              </w:rPr>
              <w:t>Design of s</w:t>
            </w:r>
            <w:r w:rsidRPr="00EC65C8">
              <w:rPr>
                <w:rFonts w:ascii="Calibri" w:hAnsi="Calibri"/>
                <w:bCs/>
                <w:sz w:val="22"/>
                <w:szCs w:val="20"/>
                <w:lang w:val="en-GB"/>
              </w:rPr>
              <w:t>upport therefore needs to be over the medium-term and be flexible to adjust to changed context and progress during the 5 years.</w:t>
            </w:r>
          </w:p>
          <w:p w14:paraId="0B68A7E6" w14:textId="77777777" w:rsidR="001B3691" w:rsidRPr="00EC65C8" w:rsidRDefault="001B3691" w:rsidP="000D04D3">
            <w:pPr>
              <w:ind w:left="72"/>
              <w:rPr>
                <w:rFonts w:ascii="Calibri" w:hAnsi="Calibri"/>
                <w:sz w:val="22"/>
                <w:szCs w:val="20"/>
                <w:lang w:val="en-GB"/>
              </w:rPr>
            </w:pPr>
          </w:p>
        </w:tc>
      </w:tr>
      <w:tr w:rsidR="001B3691" w:rsidRPr="00FA3306" w14:paraId="4E0EBA1F" w14:textId="77777777" w:rsidTr="008D31F6">
        <w:tc>
          <w:tcPr>
            <w:tcW w:w="1791" w:type="dxa"/>
          </w:tcPr>
          <w:p w14:paraId="500B1FEB"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t xml:space="preserve">2. Program or Sector </w:t>
            </w:r>
            <w:r w:rsidRPr="00EC65C8">
              <w:rPr>
                <w:rFonts w:ascii="Calibri" w:hAnsi="Calibri"/>
                <w:sz w:val="22"/>
                <w:szCs w:val="20"/>
                <w:lang w:val="en-GB"/>
              </w:rPr>
              <w:t>Budget Support</w:t>
            </w:r>
          </w:p>
        </w:tc>
        <w:tc>
          <w:tcPr>
            <w:tcW w:w="7513" w:type="dxa"/>
          </w:tcPr>
          <w:p w14:paraId="55D45BDA" w14:textId="77777777" w:rsidR="001B3691" w:rsidRPr="00EC65C8" w:rsidRDefault="001B3691" w:rsidP="000D04D3">
            <w:pPr>
              <w:ind w:left="72"/>
              <w:rPr>
                <w:rFonts w:ascii="Calibri" w:hAnsi="Calibri"/>
                <w:sz w:val="22"/>
                <w:szCs w:val="20"/>
                <w:lang w:val="en-GB"/>
              </w:rPr>
            </w:pPr>
            <w:r w:rsidRPr="00EC65C8">
              <w:rPr>
                <w:rFonts w:ascii="Calibri" w:hAnsi="Calibri"/>
                <w:b/>
                <w:bCs/>
                <w:sz w:val="22"/>
                <w:szCs w:val="20"/>
                <w:lang w:val="en-GB"/>
              </w:rPr>
              <w:t>To support implementation of the PFMRII through the Fiscal Performance Improvement Plan and team-based performance management</w:t>
            </w:r>
            <w:r w:rsidRPr="00EC65C8">
              <w:rPr>
                <w:rFonts w:ascii="Calibri" w:hAnsi="Calibri"/>
                <w:sz w:val="22"/>
                <w:szCs w:val="20"/>
                <w:lang w:val="en-GB"/>
              </w:rPr>
              <w:t>.</w:t>
            </w:r>
            <w:r w:rsidRPr="00EC65C8">
              <w:rPr>
                <w:rFonts w:ascii="Calibri" w:hAnsi="Calibri"/>
                <w:b/>
                <w:bCs/>
                <w:sz w:val="22"/>
                <w:szCs w:val="20"/>
                <w:lang w:val="en-GB"/>
              </w:rPr>
              <w:t xml:space="preserve"> </w:t>
            </w:r>
            <w:r w:rsidRPr="00EC65C8">
              <w:rPr>
                <w:rFonts w:ascii="Calibri" w:hAnsi="Calibri"/>
                <w:sz w:val="22"/>
                <w:szCs w:val="20"/>
                <w:lang w:val="en-GB"/>
              </w:rPr>
              <w:t xml:space="preserve"> In this instance, it is hard to define a sector for what is more typically termed “sector budget support”. Program budget support, in this case the program being PFMRII, should include linkages to all key PFM areas including service delivery, audit and procurement.</w:t>
            </w:r>
          </w:p>
          <w:p w14:paraId="4ED4A019" w14:textId="77777777" w:rsidR="001B3691" w:rsidRPr="00EC65C8" w:rsidRDefault="001B3691" w:rsidP="000D04D3">
            <w:pPr>
              <w:ind w:left="72"/>
              <w:rPr>
                <w:rFonts w:ascii="Calibri" w:hAnsi="Calibri"/>
                <w:sz w:val="22"/>
                <w:szCs w:val="20"/>
                <w:lang w:val="en-GB"/>
              </w:rPr>
            </w:pPr>
          </w:p>
        </w:tc>
      </w:tr>
      <w:tr w:rsidR="001B3691" w:rsidRPr="00FA3306" w14:paraId="644DB146" w14:textId="77777777" w:rsidTr="008D31F6">
        <w:tc>
          <w:tcPr>
            <w:tcW w:w="1791" w:type="dxa"/>
          </w:tcPr>
          <w:p w14:paraId="26070557"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lastRenderedPageBreak/>
              <w:t xml:space="preserve">3. Direct </w:t>
            </w:r>
            <w:r w:rsidRPr="00EC65C8">
              <w:rPr>
                <w:rFonts w:ascii="Calibri" w:hAnsi="Calibri"/>
                <w:sz w:val="22"/>
                <w:szCs w:val="20"/>
                <w:lang w:val="en-GB"/>
              </w:rPr>
              <w:t>Budget Support</w:t>
            </w:r>
          </w:p>
        </w:tc>
        <w:tc>
          <w:tcPr>
            <w:tcW w:w="7513" w:type="dxa"/>
          </w:tcPr>
          <w:p w14:paraId="7664986B" w14:textId="77777777" w:rsidR="001B3691" w:rsidRPr="00EC65C8" w:rsidRDefault="001B3691" w:rsidP="000D04D3">
            <w:pPr>
              <w:ind w:left="72"/>
              <w:rPr>
                <w:rFonts w:ascii="Calibri" w:hAnsi="Calibri"/>
                <w:sz w:val="22"/>
                <w:szCs w:val="20"/>
                <w:lang w:val="en-GB"/>
              </w:rPr>
            </w:pPr>
            <w:r w:rsidRPr="00EC65C8">
              <w:rPr>
                <w:rFonts w:ascii="Calibri" w:hAnsi="Calibri"/>
                <w:b/>
                <w:bCs/>
                <w:sz w:val="22"/>
                <w:szCs w:val="20"/>
                <w:lang w:val="en-GB"/>
              </w:rPr>
              <w:t>Delivery of foreign currency denominated foreign assistance</w:t>
            </w:r>
            <w:r w:rsidRPr="00EC65C8">
              <w:rPr>
                <w:rFonts w:ascii="Calibri" w:hAnsi="Calibri"/>
                <w:sz w:val="22"/>
                <w:szCs w:val="20"/>
                <w:lang w:val="en-GB"/>
              </w:rPr>
              <w:t xml:space="preserve"> channelled to the Government via existing national systems, or if necessary through channels specifically designed for the purpose of this program.  </w:t>
            </w:r>
          </w:p>
          <w:p w14:paraId="0C383B75" w14:textId="77777777" w:rsidR="001B3691" w:rsidRPr="00EC65C8" w:rsidRDefault="001B3691" w:rsidP="000D04D3">
            <w:pPr>
              <w:ind w:left="72"/>
              <w:rPr>
                <w:rFonts w:ascii="Calibri" w:hAnsi="Calibri"/>
                <w:sz w:val="22"/>
                <w:szCs w:val="20"/>
                <w:lang w:val="en-GB"/>
              </w:rPr>
            </w:pPr>
          </w:p>
        </w:tc>
      </w:tr>
      <w:tr w:rsidR="001B3691" w:rsidRPr="00FA3306" w14:paraId="552E8D9C" w14:textId="77777777" w:rsidTr="008D31F6">
        <w:tc>
          <w:tcPr>
            <w:tcW w:w="1791" w:type="dxa"/>
          </w:tcPr>
          <w:p w14:paraId="1396A5FF"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t>4. Programmatic Structure</w:t>
            </w:r>
          </w:p>
        </w:tc>
        <w:tc>
          <w:tcPr>
            <w:tcW w:w="7513" w:type="dxa"/>
          </w:tcPr>
          <w:p w14:paraId="156AD9C4" w14:textId="77777777" w:rsidR="001B3691" w:rsidRPr="00EC65C8" w:rsidRDefault="001B3691" w:rsidP="000D04D3">
            <w:pPr>
              <w:ind w:left="72"/>
              <w:rPr>
                <w:rFonts w:ascii="Calibri" w:hAnsi="Calibri"/>
                <w:sz w:val="22"/>
                <w:szCs w:val="20"/>
                <w:lang w:val="en-GB"/>
              </w:rPr>
            </w:pPr>
            <w:r w:rsidRPr="00EC65C8">
              <w:rPr>
                <w:rFonts w:ascii="Calibri" w:hAnsi="Calibri"/>
                <w:b/>
                <w:bCs/>
                <w:sz w:val="22"/>
                <w:szCs w:val="20"/>
                <w:lang w:val="en-GB"/>
              </w:rPr>
              <w:t>A joint monitoring matrix of Mutually Agreeable Results</w:t>
            </w:r>
            <w:r w:rsidRPr="00EC65C8">
              <w:rPr>
                <w:rFonts w:ascii="Calibri" w:hAnsi="Calibri"/>
                <w:sz w:val="22"/>
                <w:szCs w:val="20"/>
                <w:lang w:val="en-GB"/>
              </w:rPr>
              <w:t xml:space="preserve"> is set annually based on the Government’s strategic plans and Annual Action Planning process (i.e. not a multi-tranche operation, although a predictable multi-year resource envelope should be established).</w:t>
            </w:r>
          </w:p>
          <w:p w14:paraId="3F30FB89" w14:textId="77777777" w:rsidR="001B3691" w:rsidRPr="00EC65C8" w:rsidRDefault="001B3691" w:rsidP="000D04D3">
            <w:pPr>
              <w:ind w:left="72"/>
              <w:rPr>
                <w:rFonts w:ascii="Calibri" w:hAnsi="Calibri"/>
                <w:sz w:val="22"/>
                <w:szCs w:val="20"/>
                <w:lang w:val="en-GB"/>
              </w:rPr>
            </w:pPr>
          </w:p>
        </w:tc>
      </w:tr>
      <w:tr w:rsidR="001B3691" w:rsidRPr="00FA3306" w14:paraId="5FE85B2B" w14:textId="77777777" w:rsidTr="008D31F6">
        <w:tc>
          <w:tcPr>
            <w:tcW w:w="1791" w:type="dxa"/>
          </w:tcPr>
          <w:p w14:paraId="75FB8784"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t>5. General and specific conditions</w:t>
            </w:r>
          </w:p>
        </w:tc>
        <w:tc>
          <w:tcPr>
            <w:tcW w:w="7513" w:type="dxa"/>
          </w:tcPr>
          <w:p w14:paraId="4D8AB7BB" w14:textId="77777777" w:rsidR="001B3691" w:rsidRPr="00EC65C8" w:rsidRDefault="001B3691" w:rsidP="000D04D3">
            <w:pPr>
              <w:rPr>
                <w:rFonts w:ascii="Calibri" w:hAnsi="Calibri"/>
                <w:sz w:val="22"/>
                <w:szCs w:val="20"/>
                <w:lang w:val="en-GB"/>
              </w:rPr>
            </w:pPr>
            <w:r w:rsidRPr="00EC65C8">
              <w:rPr>
                <w:rFonts w:ascii="Calibri" w:hAnsi="Calibri"/>
                <w:b/>
                <w:bCs/>
                <w:sz w:val="22"/>
                <w:szCs w:val="20"/>
                <w:lang w:val="en-GB"/>
              </w:rPr>
              <w:t>General conditions are eligibility conditions</w:t>
            </w:r>
            <w:r w:rsidRPr="00EC65C8">
              <w:rPr>
                <w:rFonts w:ascii="Calibri" w:hAnsi="Calibri"/>
                <w:sz w:val="22"/>
                <w:szCs w:val="20"/>
                <w:lang w:val="en-GB"/>
              </w:rPr>
              <w:t xml:space="preserve"> for a program to start and continue. </w:t>
            </w:r>
            <w:r w:rsidRPr="00EC65C8">
              <w:rPr>
                <w:rFonts w:ascii="Calibri" w:hAnsi="Calibri"/>
                <w:b/>
                <w:bCs/>
                <w:sz w:val="22"/>
                <w:szCs w:val="20"/>
                <w:lang w:val="en-GB"/>
              </w:rPr>
              <w:t>Specific conditions related to conditions for disbursement</w:t>
            </w:r>
            <w:r w:rsidRPr="00EC65C8">
              <w:rPr>
                <w:rFonts w:ascii="Calibri" w:hAnsi="Calibri"/>
                <w:sz w:val="22"/>
                <w:szCs w:val="20"/>
                <w:lang w:val="en-GB"/>
              </w:rPr>
              <w:t xml:space="preserve"> of aid – i.e. what constitutes satisfactory performance. These specific conditions will need to be designed in a way that helps: i) frame policy dialogue between the Government and development partners; ii) manage fiduciary and development risks; and iii) provide clarity on mutual obligations. </w:t>
            </w:r>
          </w:p>
          <w:p w14:paraId="5DB7669C" w14:textId="77777777" w:rsidR="001B3691" w:rsidRPr="00EC65C8" w:rsidRDefault="001B3691" w:rsidP="000D04D3">
            <w:pPr>
              <w:rPr>
                <w:rFonts w:ascii="Calibri" w:hAnsi="Calibri"/>
                <w:sz w:val="22"/>
                <w:szCs w:val="20"/>
                <w:lang w:val="en-GB"/>
              </w:rPr>
            </w:pPr>
          </w:p>
        </w:tc>
      </w:tr>
      <w:tr w:rsidR="001B3691" w:rsidRPr="00FA3306" w14:paraId="6E7B7144" w14:textId="77777777" w:rsidTr="008D31F6">
        <w:tc>
          <w:tcPr>
            <w:tcW w:w="1791" w:type="dxa"/>
          </w:tcPr>
          <w:p w14:paraId="6FFE5B0F"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t>6. Floating conditions</w:t>
            </w:r>
          </w:p>
        </w:tc>
        <w:tc>
          <w:tcPr>
            <w:tcW w:w="7513" w:type="dxa"/>
          </w:tcPr>
          <w:p w14:paraId="0BF83182" w14:textId="6561FFDB" w:rsidR="001B3691" w:rsidRDefault="001B3691" w:rsidP="000D04D3">
            <w:pPr>
              <w:ind w:left="72"/>
              <w:rPr>
                <w:rFonts w:ascii="Calibri" w:hAnsi="Calibri"/>
                <w:sz w:val="22"/>
                <w:szCs w:val="20"/>
                <w:lang w:val="en-GB"/>
              </w:rPr>
            </w:pPr>
            <w:r w:rsidRPr="00EC65C8">
              <w:rPr>
                <w:rFonts w:ascii="Calibri" w:hAnsi="Calibri"/>
                <w:b/>
                <w:bCs/>
                <w:sz w:val="22"/>
                <w:szCs w:val="20"/>
                <w:lang w:val="en-GB"/>
              </w:rPr>
              <w:t>Deadlines associated with Mutually Agreeable Results (MARs) targets and tranche disbursements are indicative</w:t>
            </w:r>
            <w:r w:rsidRPr="00EC65C8">
              <w:rPr>
                <w:rFonts w:ascii="Calibri" w:hAnsi="Calibri"/>
                <w:sz w:val="22"/>
                <w:szCs w:val="20"/>
                <w:lang w:val="en-GB"/>
              </w:rPr>
              <w:t xml:space="preserve"> and not fixed. Provides flexibility in keeping with principles of a partnership approach and risk sharing. The floating nature of the co</w:t>
            </w:r>
            <w:r w:rsidR="002734AF">
              <w:rPr>
                <w:rFonts w:ascii="Calibri" w:hAnsi="Calibri"/>
                <w:sz w:val="22"/>
                <w:szCs w:val="20"/>
                <w:lang w:val="en-GB"/>
              </w:rPr>
              <w:t>nditionality requires</w:t>
            </w:r>
            <w:r w:rsidRPr="00EC65C8">
              <w:rPr>
                <w:rFonts w:ascii="Calibri" w:hAnsi="Calibri"/>
                <w:sz w:val="22"/>
                <w:szCs w:val="20"/>
                <w:lang w:val="en-GB"/>
              </w:rPr>
              <w:t xml:space="preserve"> an extensive Joint Monitoring Matrix (JMM), based on the Government’s 5-year action plans, and should include high and medium priority action-based performance targets for results. Satisfactory performance would be graded (F, D to A+) for each MAR and aggregated for each administrative unit (National Directorate and Units) based on three criteria (timeliness, quality, effectiveness in dealing with problems weighted for the level of technical assistance employed). MAR</w:t>
            </w:r>
            <w:r w:rsidR="002734AF">
              <w:rPr>
                <w:rFonts w:ascii="Calibri" w:hAnsi="Calibri"/>
                <w:sz w:val="22"/>
                <w:szCs w:val="20"/>
                <w:lang w:val="en-GB"/>
              </w:rPr>
              <w:t>s that are not reached may roll</w:t>
            </w:r>
            <w:r w:rsidRPr="00EC65C8">
              <w:rPr>
                <w:rFonts w:ascii="Calibri" w:hAnsi="Calibri"/>
                <w:sz w:val="22"/>
                <w:szCs w:val="20"/>
                <w:lang w:val="en-GB"/>
              </w:rPr>
              <w:t xml:space="preserve">over to the following year in full or in amended form. </w:t>
            </w:r>
          </w:p>
          <w:p w14:paraId="4B9000CC" w14:textId="77777777" w:rsidR="001B3691" w:rsidRPr="00EC65C8" w:rsidRDefault="001B3691" w:rsidP="000D04D3">
            <w:pPr>
              <w:ind w:left="72"/>
              <w:rPr>
                <w:rFonts w:ascii="Calibri" w:hAnsi="Calibri"/>
                <w:sz w:val="22"/>
                <w:szCs w:val="20"/>
                <w:lang w:val="en-GB"/>
              </w:rPr>
            </w:pPr>
          </w:p>
        </w:tc>
      </w:tr>
      <w:tr w:rsidR="001B3691" w:rsidRPr="00FA3306" w14:paraId="00485A2E" w14:textId="77777777" w:rsidTr="008D31F6">
        <w:tc>
          <w:tcPr>
            <w:tcW w:w="1791" w:type="dxa"/>
          </w:tcPr>
          <w:p w14:paraId="10B531C5"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t>7. Untargeted financial assistance</w:t>
            </w:r>
          </w:p>
        </w:tc>
        <w:tc>
          <w:tcPr>
            <w:tcW w:w="7513" w:type="dxa"/>
          </w:tcPr>
          <w:p w14:paraId="124313FB" w14:textId="79266FBF" w:rsidR="001B3691" w:rsidRPr="00EC65C8" w:rsidRDefault="001B3691" w:rsidP="000D04D3">
            <w:pPr>
              <w:ind w:left="72"/>
              <w:rPr>
                <w:rFonts w:ascii="Calibri" w:hAnsi="Calibri"/>
                <w:sz w:val="22"/>
                <w:szCs w:val="20"/>
                <w:lang w:val="en-GB"/>
              </w:rPr>
            </w:pPr>
            <w:r w:rsidRPr="00EC65C8">
              <w:rPr>
                <w:rFonts w:ascii="Calibri" w:hAnsi="Calibri"/>
                <w:b/>
                <w:bCs/>
                <w:sz w:val="22"/>
                <w:szCs w:val="20"/>
                <w:lang w:val="en-GB"/>
              </w:rPr>
              <w:t>Eligibility of expenditures limited to intended purpose</w:t>
            </w:r>
            <w:r w:rsidRPr="00EC65C8">
              <w:rPr>
                <w:rFonts w:ascii="Calibri" w:hAnsi="Calibri"/>
                <w:sz w:val="22"/>
                <w:szCs w:val="20"/>
                <w:lang w:val="en-GB"/>
              </w:rPr>
              <w:t xml:space="preserve"> as reflected in programs, activities and budget line items identified in the Government’s strategic Plans, Annual Action Planning and budget processes.</w:t>
            </w:r>
            <w:r w:rsidRPr="00EC65C8">
              <w:rPr>
                <w:rFonts w:ascii="Calibri" w:hAnsi="Calibri"/>
                <w:b/>
                <w:bCs/>
                <w:sz w:val="22"/>
                <w:szCs w:val="20"/>
                <w:lang w:val="en-GB"/>
              </w:rPr>
              <w:t xml:space="preserve"> </w:t>
            </w:r>
            <w:r w:rsidRPr="00EC65C8">
              <w:rPr>
                <w:rFonts w:ascii="Calibri" w:hAnsi="Calibri"/>
                <w:b/>
                <w:bCs/>
                <w:i/>
                <w:iCs/>
                <w:sz w:val="22"/>
                <w:szCs w:val="20"/>
                <w:lang w:val="en-GB"/>
              </w:rPr>
              <w:t>However, development partners can indicate a preference for earmarking of their money for particular purpose or budget line item.</w:t>
            </w:r>
            <w:r w:rsidRPr="00EC65C8">
              <w:rPr>
                <w:rFonts w:ascii="Calibri" w:hAnsi="Calibri"/>
                <w:b/>
                <w:bCs/>
                <w:sz w:val="22"/>
                <w:szCs w:val="20"/>
                <w:lang w:val="en-GB"/>
              </w:rPr>
              <w:t xml:space="preserve"> </w:t>
            </w:r>
            <w:r w:rsidR="002734AF">
              <w:rPr>
                <w:rFonts w:ascii="Calibri" w:hAnsi="Calibri"/>
                <w:sz w:val="22"/>
                <w:szCs w:val="20"/>
                <w:lang w:val="en-GB"/>
              </w:rPr>
              <w:t>No</w:t>
            </w:r>
            <w:r w:rsidRPr="00EC65C8">
              <w:rPr>
                <w:rFonts w:ascii="Calibri" w:hAnsi="Calibri"/>
                <w:sz w:val="22"/>
                <w:szCs w:val="20"/>
                <w:lang w:val="en-GB"/>
              </w:rPr>
              <w:t xml:space="preserve"> ineligible expenditures (black lists) outside this</w:t>
            </w:r>
            <w:r w:rsidRPr="00EC65C8">
              <w:rPr>
                <w:rFonts w:ascii="Calibri" w:hAnsi="Calibri"/>
                <w:b/>
                <w:bCs/>
                <w:sz w:val="22"/>
                <w:szCs w:val="20"/>
                <w:lang w:val="en-GB"/>
              </w:rPr>
              <w:t xml:space="preserve"> </w:t>
            </w:r>
            <w:r w:rsidRPr="00EC65C8">
              <w:rPr>
                <w:rFonts w:ascii="Calibri" w:hAnsi="Calibri"/>
                <w:sz w:val="22"/>
                <w:szCs w:val="20"/>
                <w:lang w:val="en-GB"/>
              </w:rPr>
              <w:t xml:space="preserve">(i.e. not targeting “professional services”). This increases flexibility and promotes dialogue around strategic program, annual action plans and performance. </w:t>
            </w:r>
          </w:p>
          <w:p w14:paraId="32624D9D" w14:textId="77777777" w:rsidR="001B3691" w:rsidRPr="00EC65C8" w:rsidRDefault="001B3691" w:rsidP="000D04D3">
            <w:pPr>
              <w:ind w:left="72"/>
              <w:rPr>
                <w:rFonts w:ascii="Calibri" w:hAnsi="Calibri"/>
                <w:sz w:val="22"/>
                <w:szCs w:val="20"/>
                <w:lang w:val="en-GB"/>
              </w:rPr>
            </w:pPr>
          </w:p>
        </w:tc>
      </w:tr>
      <w:tr w:rsidR="001B3691" w:rsidRPr="00FA3306" w14:paraId="7E9F4C3E" w14:textId="77777777" w:rsidTr="008D31F6">
        <w:tc>
          <w:tcPr>
            <w:tcW w:w="1791" w:type="dxa"/>
            <w:vMerge w:val="restart"/>
          </w:tcPr>
          <w:p w14:paraId="72B83787"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t>8. Ex-ante and ex-poste financial assistance</w:t>
            </w:r>
            <w:r w:rsidRPr="00EC65C8">
              <w:rPr>
                <w:rFonts w:ascii="Calibri" w:hAnsi="Calibri"/>
                <w:sz w:val="22"/>
                <w:szCs w:val="20"/>
                <w:lang w:val="en-GB"/>
              </w:rPr>
              <w:t xml:space="preserve"> </w:t>
            </w:r>
          </w:p>
        </w:tc>
        <w:tc>
          <w:tcPr>
            <w:tcW w:w="7513" w:type="dxa"/>
            <w:tcBorders>
              <w:bottom w:val="nil"/>
            </w:tcBorders>
          </w:tcPr>
          <w:p w14:paraId="20372551" w14:textId="77777777" w:rsidR="001B3691" w:rsidRPr="00EC65C8" w:rsidRDefault="001B3691" w:rsidP="000D04D3">
            <w:pPr>
              <w:ind w:left="72"/>
              <w:rPr>
                <w:rFonts w:ascii="Calibri" w:hAnsi="Calibri"/>
                <w:sz w:val="22"/>
                <w:szCs w:val="20"/>
                <w:lang w:val="en-GB"/>
              </w:rPr>
            </w:pPr>
            <w:r w:rsidRPr="00EC65C8">
              <w:rPr>
                <w:rFonts w:ascii="Calibri" w:hAnsi="Calibri"/>
                <w:b/>
                <w:bCs/>
                <w:sz w:val="22"/>
                <w:szCs w:val="20"/>
                <w:lang w:val="en-GB"/>
              </w:rPr>
              <w:t>Ex-ante financial assistance enables predictability of resources</w:t>
            </w:r>
            <w:r w:rsidRPr="00EC65C8">
              <w:rPr>
                <w:rFonts w:ascii="Calibri" w:hAnsi="Calibri"/>
                <w:sz w:val="22"/>
                <w:szCs w:val="20"/>
                <w:lang w:val="en-GB"/>
              </w:rPr>
              <w:t>, promotes in-year dialogue around performance and helps management of risk.</w:t>
            </w:r>
          </w:p>
        </w:tc>
      </w:tr>
      <w:tr w:rsidR="001B3691" w:rsidRPr="00FA3306" w14:paraId="162546E0" w14:textId="77777777" w:rsidTr="008D31F6">
        <w:tc>
          <w:tcPr>
            <w:tcW w:w="1791" w:type="dxa"/>
            <w:vMerge/>
          </w:tcPr>
          <w:p w14:paraId="403CF317" w14:textId="77777777" w:rsidR="001B3691" w:rsidRPr="00EC65C8" w:rsidRDefault="001B3691" w:rsidP="000D04D3">
            <w:pPr>
              <w:ind w:left="-23"/>
              <w:rPr>
                <w:rFonts w:ascii="Calibri" w:hAnsi="Calibri"/>
                <w:sz w:val="22"/>
                <w:szCs w:val="20"/>
                <w:lang w:val="en-GB"/>
              </w:rPr>
            </w:pPr>
          </w:p>
        </w:tc>
        <w:tc>
          <w:tcPr>
            <w:tcW w:w="7513" w:type="dxa"/>
            <w:tcBorders>
              <w:top w:val="nil"/>
              <w:bottom w:val="nil"/>
            </w:tcBorders>
          </w:tcPr>
          <w:p w14:paraId="7D4689E6" w14:textId="77777777" w:rsidR="001B3691" w:rsidRPr="00EC65C8" w:rsidRDefault="001B3691" w:rsidP="000D04D3">
            <w:pPr>
              <w:pStyle w:val="ListParagraph"/>
              <w:numPr>
                <w:ilvl w:val="0"/>
                <w:numId w:val="27"/>
              </w:numPr>
              <w:ind w:left="432" w:hanging="270"/>
              <w:rPr>
                <w:rFonts w:ascii="Calibri" w:hAnsi="Calibri"/>
                <w:sz w:val="22"/>
                <w:szCs w:val="20"/>
                <w:lang w:val="en-GB"/>
              </w:rPr>
            </w:pPr>
            <w:r w:rsidRPr="00EC65C8">
              <w:rPr>
                <w:rFonts w:ascii="Calibri" w:hAnsi="Calibri"/>
                <w:sz w:val="22"/>
                <w:szCs w:val="20"/>
                <w:lang w:val="en-GB"/>
              </w:rPr>
              <w:t xml:space="preserve">Ex-ante financing (funds provided in advance of expenditure) is primary. </w:t>
            </w:r>
          </w:p>
        </w:tc>
      </w:tr>
      <w:tr w:rsidR="001B3691" w:rsidRPr="00FA3306" w14:paraId="5ED72A60" w14:textId="77777777" w:rsidTr="008D31F6">
        <w:tc>
          <w:tcPr>
            <w:tcW w:w="1791" w:type="dxa"/>
            <w:vMerge/>
            <w:tcBorders>
              <w:bottom w:val="single" w:sz="4" w:space="0" w:color="auto"/>
            </w:tcBorders>
          </w:tcPr>
          <w:p w14:paraId="2F1CBED7" w14:textId="77777777" w:rsidR="001B3691" w:rsidRPr="00EC65C8" w:rsidRDefault="001B3691" w:rsidP="000D04D3">
            <w:pPr>
              <w:ind w:left="-23"/>
              <w:rPr>
                <w:rFonts w:ascii="Calibri" w:hAnsi="Calibri"/>
                <w:sz w:val="22"/>
                <w:szCs w:val="20"/>
                <w:lang w:val="en-GB"/>
              </w:rPr>
            </w:pPr>
          </w:p>
        </w:tc>
        <w:tc>
          <w:tcPr>
            <w:tcW w:w="7513" w:type="dxa"/>
            <w:tcBorders>
              <w:top w:val="nil"/>
              <w:bottom w:val="single" w:sz="4" w:space="0" w:color="auto"/>
            </w:tcBorders>
          </w:tcPr>
          <w:p w14:paraId="7CD2122C" w14:textId="77777777" w:rsidR="001B3691" w:rsidRPr="00EC65C8" w:rsidRDefault="001B3691" w:rsidP="000D04D3">
            <w:pPr>
              <w:pStyle w:val="ListParagraph"/>
              <w:numPr>
                <w:ilvl w:val="0"/>
                <w:numId w:val="27"/>
              </w:numPr>
              <w:ind w:left="432" w:hanging="270"/>
              <w:rPr>
                <w:rFonts w:ascii="Calibri" w:hAnsi="Calibri"/>
                <w:sz w:val="22"/>
                <w:szCs w:val="20"/>
                <w:lang w:val="en-GB"/>
              </w:rPr>
            </w:pPr>
            <w:r w:rsidRPr="00EC65C8">
              <w:rPr>
                <w:rFonts w:ascii="Calibri" w:hAnsi="Calibri"/>
                <w:sz w:val="22"/>
                <w:szCs w:val="20"/>
                <w:lang w:val="en-GB"/>
              </w:rPr>
              <w:t xml:space="preserve">Ex-poste financing (reimbursement) of specific expenditures within the budget or of specific budget lines as agreed during the year allowed based on need, performance and availability of foreign assistance. </w:t>
            </w:r>
          </w:p>
          <w:p w14:paraId="22101A8C" w14:textId="77777777" w:rsidR="001B3691" w:rsidRPr="00D40CB8" w:rsidRDefault="001B3691" w:rsidP="000D04D3">
            <w:pPr>
              <w:rPr>
                <w:rFonts w:ascii="Calibri" w:hAnsi="Calibri"/>
                <w:sz w:val="22"/>
                <w:szCs w:val="20"/>
                <w:lang w:val="en-GB"/>
              </w:rPr>
            </w:pPr>
          </w:p>
        </w:tc>
      </w:tr>
      <w:tr w:rsidR="001B3691" w:rsidRPr="00FA3306" w14:paraId="59EBEA39" w14:textId="77777777" w:rsidTr="008D31F6">
        <w:tc>
          <w:tcPr>
            <w:tcW w:w="1791" w:type="dxa"/>
            <w:tcBorders>
              <w:top w:val="single" w:sz="4" w:space="0" w:color="auto"/>
            </w:tcBorders>
          </w:tcPr>
          <w:p w14:paraId="7F818395" w14:textId="77777777" w:rsidR="001B3691" w:rsidRPr="00EC65C8" w:rsidRDefault="001B3691" w:rsidP="000D04D3">
            <w:pPr>
              <w:ind w:left="-23"/>
              <w:rPr>
                <w:rFonts w:ascii="Calibri" w:hAnsi="Calibri"/>
                <w:sz w:val="22"/>
                <w:szCs w:val="20"/>
                <w:lang w:val="en-GB"/>
              </w:rPr>
            </w:pPr>
            <w:r w:rsidRPr="00EC65C8">
              <w:rPr>
                <w:rFonts w:ascii="Calibri" w:hAnsi="Calibri"/>
                <w:b/>
                <w:bCs/>
                <w:sz w:val="22"/>
                <w:szCs w:val="20"/>
                <w:lang w:val="en-GB"/>
              </w:rPr>
              <w:t>9. Fixed and Variable Tranches</w:t>
            </w:r>
          </w:p>
        </w:tc>
        <w:tc>
          <w:tcPr>
            <w:tcW w:w="7513" w:type="dxa"/>
            <w:tcBorders>
              <w:top w:val="single" w:sz="4" w:space="0" w:color="auto"/>
            </w:tcBorders>
          </w:tcPr>
          <w:p w14:paraId="26A1DBBF" w14:textId="77777777" w:rsidR="001B3691" w:rsidRPr="00EC65C8" w:rsidRDefault="001B3691" w:rsidP="000D04D3">
            <w:pPr>
              <w:ind w:left="72"/>
              <w:rPr>
                <w:rFonts w:ascii="Calibri" w:hAnsi="Calibri"/>
                <w:sz w:val="22"/>
                <w:szCs w:val="20"/>
                <w:lang w:val="en-GB"/>
              </w:rPr>
            </w:pPr>
            <w:r w:rsidRPr="00EC65C8">
              <w:rPr>
                <w:rFonts w:ascii="Calibri" w:hAnsi="Calibri"/>
                <w:b/>
                <w:bCs/>
                <w:sz w:val="22"/>
                <w:szCs w:val="20"/>
                <w:lang w:val="en-GB"/>
              </w:rPr>
              <w:t>Fixed tranches deliver predictability of resourcing. Variable tranches based on performance deliver positive incentives</w:t>
            </w:r>
            <w:r w:rsidRPr="00EC65C8">
              <w:rPr>
                <w:rFonts w:ascii="Calibri" w:hAnsi="Calibri"/>
                <w:sz w:val="22"/>
                <w:szCs w:val="20"/>
                <w:lang w:val="en-GB"/>
              </w:rPr>
              <w:t xml:space="preserve"> and stronger risk management. Tranches should be set-up within the budget cycle. Review of performance during October to December will determine the level of total (fixed and variable) budget support for the following fiscal year and will be fixed for that year. Poor performance on MARS during the year will have no impact on levels of foreign assistance delivered in that same year, other than in the situation of manifestly </w:t>
            </w:r>
            <w:r w:rsidRPr="00EC65C8">
              <w:rPr>
                <w:rFonts w:ascii="Calibri" w:hAnsi="Calibri"/>
                <w:sz w:val="22"/>
                <w:szCs w:val="20"/>
                <w:lang w:val="en-GB"/>
              </w:rPr>
              <w:lastRenderedPageBreak/>
              <w:t xml:space="preserve">poor budget execution performance and the use of budget support funds. In-year variable tranches also possible (see ex-poste financing above). </w:t>
            </w:r>
          </w:p>
          <w:p w14:paraId="2A780887" w14:textId="77777777" w:rsidR="001B3691" w:rsidRPr="00EC65C8" w:rsidRDefault="001B3691" w:rsidP="000D04D3">
            <w:pPr>
              <w:ind w:left="72"/>
              <w:rPr>
                <w:rFonts w:ascii="Calibri" w:hAnsi="Calibri"/>
                <w:sz w:val="22"/>
                <w:szCs w:val="20"/>
                <w:lang w:val="en-GB"/>
              </w:rPr>
            </w:pPr>
          </w:p>
        </w:tc>
      </w:tr>
    </w:tbl>
    <w:p w14:paraId="4A857BFA" w14:textId="77777777" w:rsidR="001B3691" w:rsidRPr="00FA3306" w:rsidRDefault="001B3691" w:rsidP="001B3691">
      <w:pPr>
        <w:jc w:val="both"/>
        <w:rPr>
          <w:b/>
          <w:bCs/>
          <w:sz w:val="2"/>
          <w:szCs w:val="2"/>
          <w:lang w:val="en-GB"/>
        </w:rPr>
      </w:pPr>
    </w:p>
    <w:p w14:paraId="7DF1F58A" w14:textId="77777777" w:rsidR="001B3691" w:rsidRDefault="001B3691" w:rsidP="001B3691">
      <w:pPr>
        <w:rPr>
          <w:b/>
        </w:rPr>
      </w:pPr>
    </w:p>
    <w:p w14:paraId="4665B986" w14:textId="77777777" w:rsidR="001B3691" w:rsidRDefault="001B3691" w:rsidP="001B3691">
      <w:pPr>
        <w:rPr>
          <w:b/>
        </w:rPr>
      </w:pPr>
    </w:p>
    <w:p w14:paraId="478B3667" w14:textId="77777777" w:rsidR="001B3691" w:rsidRPr="007643C4" w:rsidRDefault="001B3691" w:rsidP="001B3691">
      <w:pPr>
        <w:rPr>
          <w:rFonts w:asciiTheme="minorHAnsi" w:hAnsiTheme="minorHAnsi"/>
          <w:i/>
          <w:color w:val="EB130B" w:themeColor="accent1" w:themeShade="BF"/>
        </w:rPr>
      </w:pPr>
      <w:r w:rsidRPr="007643C4">
        <w:rPr>
          <w:rFonts w:asciiTheme="minorHAnsi" w:hAnsiTheme="minorHAnsi"/>
          <w:i/>
          <w:color w:val="EB130B" w:themeColor="accent1" w:themeShade="BF"/>
        </w:rPr>
        <w:t>Other Key Budget Support Implementation Elements</w:t>
      </w:r>
    </w:p>
    <w:p w14:paraId="42B2D666" w14:textId="77777777" w:rsidR="001B3691" w:rsidRPr="00FA3306" w:rsidRDefault="001B3691" w:rsidP="001B3691">
      <w:pPr>
        <w:pStyle w:val="Numberedpara"/>
      </w:pPr>
      <w:r w:rsidRPr="00EC65C8">
        <w:rPr>
          <w:b/>
        </w:rPr>
        <w:t>Other implementation elements are required.</w:t>
      </w:r>
      <w:r>
        <w:t xml:space="preserve"> </w:t>
      </w:r>
      <w:r w:rsidRPr="00FA3306">
        <w:t>In addition to</w:t>
      </w:r>
      <w:r>
        <w:t xml:space="preserve"> the eligibility criteria</w:t>
      </w:r>
      <w:r w:rsidRPr="00FA3306">
        <w:t xml:space="preserve"> an</w:t>
      </w:r>
      <w:r>
        <w:t>d key design elements above, the Government and interested development p</w:t>
      </w:r>
      <w:r w:rsidRPr="00FA3306">
        <w:t xml:space="preserve">artners </w:t>
      </w:r>
      <w:r>
        <w:t xml:space="preserve">will </w:t>
      </w:r>
      <w:r w:rsidRPr="00FA3306">
        <w:t>also need to agree to other key budget support implementation mechanisms</w:t>
      </w:r>
      <w:r>
        <w:t xml:space="preserve"> such as a</w:t>
      </w:r>
      <w:r w:rsidRPr="00FA3306">
        <w:t xml:space="preserve"> Joint Monito</w:t>
      </w:r>
      <w:r>
        <w:t>ring and Evaluation Mechanism; f</w:t>
      </w:r>
      <w:r w:rsidRPr="00FA3306">
        <w:t>ixed and variable payment mechanism</w:t>
      </w:r>
      <w:r>
        <w:t>s</w:t>
      </w:r>
      <w:r w:rsidRPr="00FA3306">
        <w:t xml:space="preserve"> and timing</w:t>
      </w:r>
      <w:r>
        <w:t>; b</w:t>
      </w:r>
      <w:r w:rsidRPr="00FA3306">
        <w:t>udget</w:t>
      </w:r>
      <w:r>
        <w:t xml:space="preserve"> and accounting treatments and f</w:t>
      </w:r>
      <w:r w:rsidRPr="00FA3306">
        <w:t>und Flows</w:t>
      </w:r>
      <w:r>
        <w:t>; and p</w:t>
      </w:r>
      <w:r w:rsidRPr="00FA3306">
        <w:t xml:space="preserve">rocurement. </w:t>
      </w:r>
    </w:p>
    <w:p w14:paraId="61D7DDBF" w14:textId="77777777" w:rsidR="001B3691" w:rsidRPr="00FA3306" w:rsidRDefault="001B3691" w:rsidP="001B3691">
      <w:pPr>
        <w:pStyle w:val="ReportHeading2"/>
      </w:pPr>
      <w:r w:rsidRPr="00FA3306">
        <w:t xml:space="preserve">A) </w:t>
      </w:r>
      <w:r>
        <w:t>Establishing a</w:t>
      </w:r>
      <w:r w:rsidRPr="00FA3306">
        <w:t xml:space="preserve"> Joint Monitoring and Evaluation Mechanism</w:t>
      </w:r>
    </w:p>
    <w:p w14:paraId="3162C84C" w14:textId="6C1D0C27" w:rsidR="001B3691" w:rsidRPr="00FA3306" w:rsidRDefault="001B3691" w:rsidP="001B3691">
      <w:pPr>
        <w:pStyle w:val="Numberedpara"/>
      </w:pPr>
      <w:r>
        <w:rPr>
          <w:b/>
          <w:bCs/>
        </w:rPr>
        <w:t xml:space="preserve">A </w:t>
      </w:r>
      <w:r w:rsidRPr="00FA3306">
        <w:rPr>
          <w:b/>
          <w:bCs/>
        </w:rPr>
        <w:t>Joint Monitori</w:t>
      </w:r>
      <w:r>
        <w:rPr>
          <w:b/>
          <w:bCs/>
        </w:rPr>
        <w:t>ng</w:t>
      </w:r>
      <w:r w:rsidR="002734AF">
        <w:rPr>
          <w:b/>
          <w:bCs/>
        </w:rPr>
        <w:t xml:space="preserve"> and Evaluation Mechanism</w:t>
      </w:r>
      <w:r w:rsidRPr="00FA3306">
        <w:rPr>
          <w:b/>
          <w:bCs/>
        </w:rPr>
        <w:t xml:space="preserve"> built aro</w:t>
      </w:r>
      <w:r>
        <w:rPr>
          <w:b/>
          <w:bCs/>
        </w:rPr>
        <w:t>und the budget cycle and national</w:t>
      </w:r>
      <w:r w:rsidRPr="00FA3306">
        <w:rPr>
          <w:b/>
          <w:bCs/>
        </w:rPr>
        <w:t xml:space="preserve"> systems. </w:t>
      </w:r>
      <w:r>
        <w:t>A</w:t>
      </w:r>
      <w:r w:rsidRPr="00FA3306">
        <w:t xml:space="preserve"> Joint Monitoring Matrix (JMM) of Mutu</w:t>
      </w:r>
      <w:r>
        <w:t>ally Agreea</w:t>
      </w:r>
      <w:r w:rsidR="002734AF">
        <w:t>ble Results (MARs)</w:t>
      </w:r>
      <w:r>
        <w:t xml:space="preserve"> as a</w:t>
      </w:r>
      <w:r w:rsidRPr="00FA3306">
        <w:t xml:space="preserve"> foundation for monitoring of progress on reform and institutional strengthening plans and managing risk. Key features </w:t>
      </w:r>
      <w:r>
        <w:t xml:space="preserve">might </w:t>
      </w:r>
      <w:r w:rsidRPr="00FA3306">
        <w:t xml:space="preserve">include the following: </w:t>
      </w:r>
    </w:p>
    <w:p w14:paraId="35AAD245" w14:textId="28DB1C79" w:rsidR="001B3691" w:rsidRPr="00E72F5D" w:rsidRDefault="001B3691" w:rsidP="001B3691">
      <w:pPr>
        <w:pStyle w:val="Numberedbullet"/>
        <w:rPr>
          <w:b/>
        </w:rPr>
      </w:pPr>
      <w:r w:rsidRPr="00E72F5D">
        <w:rPr>
          <w:b/>
        </w:rPr>
        <w:t>JMM and MARS</w:t>
      </w:r>
      <w:r w:rsidR="002734AF">
        <w:t xml:space="preserve"> discussion</w:t>
      </w:r>
      <w:r w:rsidRPr="00E72F5D">
        <w:t xml:space="preserve"> with development partners prior to the beginning of a fiscal year around the time the national budget is prepared (possibly Sep-October). </w:t>
      </w:r>
    </w:p>
    <w:p w14:paraId="75515F8E" w14:textId="77777777" w:rsidR="001B3691" w:rsidRPr="00C85298" w:rsidRDefault="001B3691" w:rsidP="001B3691">
      <w:pPr>
        <w:pStyle w:val="Numberedbullet"/>
        <w:rPr>
          <w:b/>
        </w:rPr>
      </w:pPr>
      <w:r w:rsidRPr="00C85298">
        <w:rPr>
          <w:b/>
        </w:rPr>
        <w:t>Development partners can choose up to 12 major or high priority actions</w:t>
      </w:r>
      <w:r w:rsidRPr="00C85298">
        <w:t xml:space="preserve"> from the JMM each year for focus under the performance management system and specify tranche payments (fixed and variable) to provide some predictability to the flow of program support to the PFMRII;</w:t>
      </w:r>
    </w:p>
    <w:p w14:paraId="4DCBB728" w14:textId="77777777" w:rsidR="001B3691" w:rsidRPr="00E72F5D" w:rsidRDefault="001B3691" w:rsidP="001B3691">
      <w:pPr>
        <w:pStyle w:val="Numberedbullet"/>
      </w:pPr>
      <w:r w:rsidRPr="00C85298">
        <w:rPr>
          <w:b/>
        </w:rPr>
        <w:t>Independent in year monitoring</w:t>
      </w:r>
      <w:r w:rsidRPr="00E72F5D">
        <w:t xml:space="preserve"> against JMM and MARS with development partners twice a year in May and October in line with the budget cycle. </w:t>
      </w:r>
    </w:p>
    <w:p w14:paraId="1B3E5B04" w14:textId="3862972B" w:rsidR="001B3691" w:rsidRPr="00C85298" w:rsidRDefault="001B3691" w:rsidP="001B3691">
      <w:pPr>
        <w:pStyle w:val="Numberedbullet"/>
        <w:rPr>
          <w:b/>
        </w:rPr>
      </w:pPr>
      <w:r w:rsidRPr="00C85298">
        <w:rPr>
          <w:b/>
        </w:rPr>
        <w:t xml:space="preserve">May and October </w:t>
      </w:r>
      <w:r>
        <w:rPr>
          <w:b/>
        </w:rPr>
        <w:t>Reviews</w:t>
      </w:r>
      <w:r w:rsidRPr="00C85298">
        <w:rPr>
          <w:b/>
        </w:rPr>
        <w:t xml:space="preserve"> – </w:t>
      </w:r>
      <w:r w:rsidRPr="00C85298">
        <w:t>May would be a progress update with indicative performance ratings against actions with an internal report provided to the Government and development partners. The October review would be the formal annual performance assessment wh</w:t>
      </w:r>
      <w:r w:rsidR="002734AF">
        <w:t>ere team performance assessments</w:t>
      </w:r>
      <w:r w:rsidRPr="00C85298">
        <w:t xml:space="preserve"> and a for</w:t>
      </w:r>
      <w:r w:rsidR="002734AF">
        <w:t>mal Annual Performance Report are</w:t>
      </w:r>
      <w:r w:rsidRPr="00C85298">
        <w:t xml:space="preserve"> finalised and published by the Government. This formal assessment forms the basis for flexible </w:t>
      </w:r>
      <w:r w:rsidR="002734AF">
        <w:t>or incentive payments</w:t>
      </w:r>
      <w:r w:rsidRPr="00C85298">
        <w:t xml:space="preserve"> as well as informing negotiations for the following year’s MARs and tranche payments. </w:t>
      </w:r>
      <w:r w:rsidRPr="00C85298">
        <w:rPr>
          <w:b/>
        </w:rPr>
        <w:t>Development partners may want to nominate independent consultants to participate in reviews</w:t>
      </w:r>
      <w:r w:rsidRPr="00C85298">
        <w:t xml:space="preserve"> as they feel appropriate and as agreed with the Government. </w:t>
      </w:r>
    </w:p>
    <w:p w14:paraId="423667FE" w14:textId="7DA920F6" w:rsidR="001B3691" w:rsidRPr="00C85298" w:rsidRDefault="002734AF" w:rsidP="001B3691">
      <w:pPr>
        <w:pStyle w:val="Numberedbullet"/>
        <w:rPr>
          <w:b/>
        </w:rPr>
      </w:pPr>
      <w:r>
        <w:rPr>
          <w:b/>
        </w:rPr>
        <w:t>Progress</w:t>
      </w:r>
      <w:r w:rsidR="001B3691" w:rsidRPr="00C85298">
        <w:rPr>
          <w:b/>
        </w:rPr>
        <w:t xml:space="preserve"> based on satisfactory progress against MARs as expressed in the Joint Monitoring Matrix (JMM),</w:t>
      </w:r>
      <w:r w:rsidR="001B3691" w:rsidRPr="00C85298">
        <w:t xml:space="preserve"> which would be a sub-set of actions drawn from the Government’s 5-year action plans. Performance would be graded (D to A+) for each MAR and aggregated for each administrative unit (Directorate and Units) based on three criteria (timeliness, quality, effectiveness in dealing with problems weighted for the level of technical assistance </w:t>
      </w:r>
      <w:r w:rsidR="001B3691" w:rsidRPr="00C85298">
        <w:lastRenderedPageBreak/>
        <w:t>employed). Satisfactory performance should be C or above. The direction of change in per</w:t>
      </w:r>
      <w:r>
        <w:t>formance is also important</w:t>
      </w:r>
      <w:r w:rsidR="001B3691" w:rsidRPr="00C85298">
        <w:t xml:space="preserve"> i.e. even if performance is below satisfactory</w:t>
      </w:r>
      <w:r w:rsidR="001B3691">
        <w:t xml:space="preserve"> -</w:t>
      </w:r>
      <w:r w:rsidR="001B3691" w:rsidRPr="00C85298">
        <w:t xml:space="preserve"> is </w:t>
      </w:r>
      <w:r w:rsidR="002A63B4">
        <w:t>there progress</w:t>
      </w:r>
      <w:r w:rsidR="001B3691" w:rsidRPr="00C85298">
        <w:t xml:space="preserve">? MARs that </w:t>
      </w:r>
      <w:r>
        <w:t xml:space="preserve">fall short of targets </w:t>
      </w:r>
      <w:r w:rsidR="001B3691" w:rsidRPr="00C85298">
        <w:t>might be rolled-over to the following year in full or in amended form. M</w:t>
      </w:r>
      <w:r w:rsidR="002A63B4">
        <w:t>edium term outcome indicators</w:t>
      </w:r>
      <w:r w:rsidR="001B3691">
        <w:t xml:space="preserve"> reviewed annually.</w:t>
      </w:r>
    </w:p>
    <w:p w14:paraId="3C405650" w14:textId="4608835C" w:rsidR="001B3691" w:rsidRPr="00E72F5D" w:rsidRDefault="001B3691" w:rsidP="001B3691">
      <w:pPr>
        <w:pStyle w:val="Numberedbullet"/>
        <w:rPr>
          <w:b/>
        </w:rPr>
      </w:pPr>
      <w:r w:rsidRPr="00E72F5D">
        <w:rPr>
          <w:b/>
        </w:rPr>
        <w:t>Proposed budgets</w:t>
      </w:r>
      <w:r w:rsidRPr="00E72F5D">
        <w:t xml:space="preserve"> for the following year </w:t>
      </w:r>
      <w:r w:rsidR="002A63B4">
        <w:t xml:space="preserve">discussed </w:t>
      </w:r>
      <w:r w:rsidRPr="00E72F5D">
        <w:t xml:space="preserve">with development partners prior to the next fiscal year, </w:t>
      </w:r>
      <w:r>
        <w:t>ideally</w:t>
      </w:r>
      <w:r w:rsidRPr="00E72F5D">
        <w:t xml:space="preserve"> around the time the national budget is prepared (around Sep-October). </w:t>
      </w:r>
    </w:p>
    <w:p w14:paraId="0B3C0924" w14:textId="6A984B4B" w:rsidR="001B3691" w:rsidRPr="00FA3306" w:rsidRDefault="001B3691" w:rsidP="001B3691">
      <w:pPr>
        <w:pStyle w:val="Numberedpara"/>
        <w:ind w:left="0" w:firstLine="0"/>
      </w:pPr>
      <w:r>
        <w:rPr>
          <w:b/>
        </w:rPr>
        <w:t>F</w:t>
      </w:r>
      <w:r w:rsidRPr="00676518">
        <w:rPr>
          <w:b/>
        </w:rPr>
        <w:t xml:space="preserve">ormal PEFA assessments </w:t>
      </w:r>
      <w:r>
        <w:rPr>
          <w:b/>
        </w:rPr>
        <w:t>would be undertaken</w:t>
      </w:r>
      <w:r w:rsidRPr="00676518">
        <w:rPr>
          <w:b/>
        </w:rPr>
        <w:t xml:space="preserve"> every three years</w:t>
      </w:r>
      <w:r w:rsidRPr="00FA3306">
        <w:t xml:space="preserve"> with </w:t>
      </w:r>
      <w:r>
        <w:t xml:space="preserve">the next </w:t>
      </w:r>
      <w:r w:rsidR="002A63B4">
        <w:t>assessment</w:t>
      </w:r>
      <w:r w:rsidRPr="00FA3306">
        <w:t xml:space="preserve"> </w:t>
      </w:r>
      <w:r>
        <w:t>in late</w:t>
      </w:r>
      <w:r w:rsidRPr="00FA3306">
        <w:t xml:space="preserve"> 2016.</w:t>
      </w:r>
    </w:p>
    <w:p w14:paraId="193767E6" w14:textId="77777777" w:rsidR="001B3691" w:rsidRPr="00E72F5D" w:rsidRDefault="001B3691" w:rsidP="001B3691">
      <w:pPr>
        <w:pStyle w:val="ListParagraph"/>
        <w:numPr>
          <w:ilvl w:val="1"/>
          <w:numId w:val="28"/>
        </w:numPr>
        <w:spacing w:after="160" w:line="259" w:lineRule="auto"/>
        <w:jc w:val="both"/>
        <w:rPr>
          <w:bCs/>
          <w:sz w:val="22"/>
          <w:szCs w:val="22"/>
          <w:lang w:val="en-GB"/>
        </w:rPr>
      </w:pPr>
      <w:r w:rsidRPr="00E72F5D">
        <w:rPr>
          <w:b/>
          <w:bCs/>
          <w:sz w:val="22"/>
          <w:szCs w:val="22"/>
          <w:lang w:val="en-GB"/>
        </w:rPr>
        <w:t xml:space="preserve">Key PEFA aspirational targets might be recalculated on an annual </w:t>
      </w:r>
      <w:r w:rsidRPr="00E72F5D">
        <w:rPr>
          <w:bCs/>
          <w:sz w:val="22"/>
          <w:szCs w:val="22"/>
          <w:lang w:val="en-GB"/>
        </w:rPr>
        <w:t xml:space="preserve">basis or as agreed through the JMM process. </w:t>
      </w:r>
    </w:p>
    <w:p w14:paraId="7D999068" w14:textId="20624B2B" w:rsidR="001B3691" w:rsidRPr="00E72F5D" w:rsidRDefault="001B3691" w:rsidP="001B3691">
      <w:pPr>
        <w:pStyle w:val="ListParagraph"/>
        <w:numPr>
          <w:ilvl w:val="1"/>
          <w:numId w:val="28"/>
        </w:numPr>
        <w:spacing w:after="160" w:line="259" w:lineRule="auto"/>
        <w:jc w:val="both"/>
        <w:rPr>
          <w:bCs/>
          <w:sz w:val="22"/>
          <w:szCs w:val="22"/>
          <w:lang w:val="en-GB"/>
        </w:rPr>
      </w:pPr>
      <w:r w:rsidRPr="00E72F5D">
        <w:rPr>
          <w:b/>
          <w:bCs/>
          <w:sz w:val="22"/>
          <w:szCs w:val="22"/>
          <w:lang w:val="en-GB"/>
        </w:rPr>
        <w:t>Other international and independently assessed benchmark</w:t>
      </w:r>
      <w:r w:rsidR="002A63B4">
        <w:rPr>
          <w:b/>
          <w:bCs/>
          <w:sz w:val="22"/>
          <w:szCs w:val="22"/>
          <w:lang w:val="en-GB"/>
        </w:rPr>
        <w:t>s</w:t>
      </w:r>
      <w:r w:rsidRPr="00E72F5D">
        <w:rPr>
          <w:b/>
          <w:bCs/>
          <w:sz w:val="22"/>
          <w:szCs w:val="22"/>
          <w:lang w:val="en-GB"/>
        </w:rPr>
        <w:t xml:space="preserve"> considered </w:t>
      </w:r>
      <w:r w:rsidRPr="00676518">
        <w:rPr>
          <w:bCs/>
          <w:sz w:val="22"/>
          <w:szCs w:val="22"/>
          <w:lang w:val="en-GB"/>
        </w:rPr>
        <w:t>and</w:t>
      </w:r>
      <w:r w:rsidRPr="00E72F5D">
        <w:rPr>
          <w:b/>
          <w:bCs/>
          <w:sz w:val="22"/>
          <w:szCs w:val="22"/>
          <w:lang w:val="en-GB"/>
        </w:rPr>
        <w:t xml:space="preserve"> </w:t>
      </w:r>
      <w:r w:rsidRPr="00E72F5D">
        <w:rPr>
          <w:bCs/>
          <w:sz w:val="22"/>
          <w:szCs w:val="22"/>
          <w:lang w:val="en-GB"/>
        </w:rPr>
        <w:t xml:space="preserve">agreed through the JMM process (e.g. Open Budget Index, Revenue Watch transparency indictors etc.). </w:t>
      </w:r>
    </w:p>
    <w:p w14:paraId="0745EC48" w14:textId="6B759847" w:rsidR="001B3691" w:rsidRPr="00E72F5D" w:rsidRDefault="001B3691" w:rsidP="001B3691">
      <w:pPr>
        <w:pStyle w:val="Numberedpara"/>
        <w:ind w:left="0" w:firstLine="0"/>
        <w:rPr>
          <w:szCs w:val="22"/>
        </w:rPr>
      </w:pPr>
      <w:r w:rsidRPr="00E72F5D">
        <w:rPr>
          <w:b/>
          <w:bCs/>
          <w:szCs w:val="22"/>
        </w:rPr>
        <w:t>A joint mid-term evaluation</w:t>
      </w:r>
      <w:r w:rsidR="002A63B4">
        <w:rPr>
          <w:szCs w:val="22"/>
        </w:rPr>
        <w:t xml:space="preserve"> of the</w:t>
      </w:r>
      <w:r w:rsidRPr="00E72F5D">
        <w:rPr>
          <w:szCs w:val="22"/>
        </w:rPr>
        <w:t xml:space="preserve"> bud</w:t>
      </w:r>
      <w:r w:rsidR="002A63B4">
        <w:rPr>
          <w:szCs w:val="22"/>
        </w:rPr>
        <w:t>get support arrangement</w:t>
      </w:r>
      <w:r>
        <w:rPr>
          <w:szCs w:val="22"/>
        </w:rPr>
        <w:t xml:space="preserve"> </w:t>
      </w:r>
      <w:r w:rsidR="002A63B4">
        <w:rPr>
          <w:szCs w:val="22"/>
        </w:rPr>
        <w:t xml:space="preserve">planned </w:t>
      </w:r>
      <w:r>
        <w:rPr>
          <w:szCs w:val="22"/>
        </w:rPr>
        <w:t xml:space="preserve">for some </w:t>
      </w:r>
      <w:r w:rsidRPr="00676518">
        <w:t>time</w:t>
      </w:r>
      <w:r>
        <w:rPr>
          <w:szCs w:val="22"/>
        </w:rPr>
        <w:t xml:space="preserve"> in 2018.</w:t>
      </w:r>
    </w:p>
    <w:p w14:paraId="20863B6F" w14:textId="77777777" w:rsidR="001B3691" w:rsidRPr="00FA3306" w:rsidRDefault="001B3691" w:rsidP="001B3691">
      <w:pPr>
        <w:pStyle w:val="ReportHeading2"/>
      </w:pPr>
      <w:r w:rsidRPr="00FA3306">
        <w:t>B) Fixed and variable payment mechanism and timing</w:t>
      </w:r>
    </w:p>
    <w:p w14:paraId="58A2CA6B" w14:textId="0CB8A0B3" w:rsidR="001B3691" w:rsidRPr="00333F8B" w:rsidRDefault="001B3691" w:rsidP="001B3691">
      <w:pPr>
        <w:pStyle w:val="Numberedpara"/>
        <w:ind w:left="0" w:firstLine="0"/>
        <w:rPr>
          <w:bCs/>
        </w:rPr>
      </w:pPr>
      <w:r w:rsidRPr="00333F8B">
        <w:rPr>
          <w:b/>
          <w:bCs/>
        </w:rPr>
        <w:t>Fixed payments</w:t>
      </w:r>
      <w:r w:rsidR="002A63B4">
        <w:rPr>
          <w:b/>
          <w:bCs/>
        </w:rPr>
        <w:t xml:space="preserve"> mean a tranche payment</w:t>
      </w:r>
      <w:r w:rsidRPr="00333F8B">
        <w:rPr>
          <w:b/>
          <w:bCs/>
        </w:rPr>
        <w:t xml:space="preserve"> made in advance of the next fiscal year </w:t>
      </w:r>
      <w:r w:rsidRPr="00333F8B">
        <w:t>based on agreed MARs and previous performance. A fixed component of the support helps to ensure the predictability of aid flows in line with good practice.</w:t>
      </w:r>
    </w:p>
    <w:p w14:paraId="783C5471" w14:textId="00E89AE0" w:rsidR="001B3691" w:rsidRPr="00FA3306" w:rsidRDefault="002A63B4" w:rsidP="001B3691">
      <w:pPr>
        <w:pStyle w:val="Numberedpara"/>
        <w:ind w:left="0" w:firstLine="0"/>
      </w:pPr>
      <w:r>
        <w:rPr>
          <w:b/>
        </w:rPr>
        <w:t>Variable tranche payments</w:t>
      </w:r>
      <w:r w:rsidR="001B3691" w:rsidRPr="00577FD1">
        <w:rPr>
          <w:b/>
        </w:rPr>
        <w:t xml:space="preserve"> linked to performance.</w:t>
      </w:r>
      <w:r w:rsidR="001B3691">
        <w:t xml:space="preserve"> In practice, the Government will need to agree with donors their individual preferences through the JMM process.</w:t>
      </w:r>
      <w:r w:rsidR="001B3691" w:rsidRPr="00FA3306">
        <w:t xml:space="preserve"> </w:t>
      </w:r>
    </w:p>
    <w:p w14:paraId="3D8070A2" w14:textId="30D9EA30" w:rsidR="001B3691" w:rsidRPr="00333F8B" w:rsidRDefault="001B3691" w:rsidP="001B3691">
      <w:pPr>
        <w:pStyle w:val="Numberedbullet"/>
      </w:pPr>
      <w:r w:rsidRPr="00333F8B">
        <w:rPr>
          <w:b/>
          <w:i/>
        </w:rPr>
        <w:t xml:space="preserve">Donors could choose to make a single tranche or multiple tranches based on progress </w:t>
      </w:r>
      <w:r w:rsidRPr="00333F8B">
        <w:t>throughout the fiscal year.  Multiple disbursements during the year helps manage risk of potentially significant unutilized cash reserves and opacity if balance sheet information is not routine. Multiple disbursements also provides positive incentives to improve cash flow management. Multiple tranches, however, increases risk of delays if donors do not disburse on time in accordance to the agreed disbursement schedule and has the potential to reduce flexibility to finance lumpy expenditures (tho</w:t>
      </w:r>
      <w:r w:rsidR="002A63B4">
        <w:t xml:space="preserve">ugh spending constraints </w:t>
      </w:r>
      <w:r w:rsidRPr="00333F8B">
        <w:t>managed via reimbursement provisions).</w:t>
      </w:r>
    </w:p>
    <w:p w14:paraId="036DBAD1" w14:textId="15F3B4B6" w:rsidR="001B3691" w:rsidRPr="00E72F5D" w:rsidRDefault="001B3691" w:rsidP="001B3691">
      <w:pPr>
        <w:pStyle w:val="Numberedbullet"/>
      </w:pPr>
      <w:r w:rsidRPr="00E72F5D">
        <w:rPr>
          <w:b/>
        </w:rPr>
        <w:t>The Government and participating donors may consider agreement to program bud</w:t>
      </w:r>
      <w:r w:rsidR="002A63B4">
        <w:rPr>
          <w:b/>
        </w:rPr>
        <w:t>get execution, performance indicators</w:t>
      </w:r>
      <w:r w:rsidRPr="00E72F5D">
        <w:rPr>
          <w:b/>
        </w:rPr>
        <w:t xml:space="preserve"> </w:t>
      </w:r>
      <w:r w:rsidRPr="00E72F5D">
        <w:t>(of say 5% end-Mar, 20% end-June, 30% end-Sep, 60% end-Dec</w:t>
      </w:r>
      <w:r w:rsidRPr="00E72F5D">
        <w:rPr>
          <w:b/>
        </w:rPr>
        <w:t xml:space="preserve"> </w:t>
      </w:r>
      <w:r w:rsidRPr="00E72F5D">
        <w:t>or based on submitted monthly cash flow forecast needs). Budget execution performance below these levels would not only trigger a discussion on budget execution performance but coul</w:t>
      </w:r>
      <w:r w:rsidR="002A63B4">
        <w:t xml:space="preserve">d also lead to the program considered </w:t>
      </w:r>
      <w:r w:rsidRPr="00E72F5D">
        <w:t xml:space="preserve">off-track). </w:t>
      </w:r>
    </w:p>
    <w:p w14:paraId="23A48DBD" w14:textId="77777777" w:rsidR="001B3691" w:rsidRPr="00FA3306" w:rsidRDefault="001B3691" w:rsidP="001B3691">
      <w:pPr>
        <w:pStyle w:val="Numberedpara"/>
      </w:pPr>
      <w:r w:rsidRPr="00333F8B">
        <w:rPr>
          <w:b/>
          <w:i/>
        </w:rPr>
        <w:lastRenderedPageBreak/>
        <w:t>There will be a mechanism to handle under spends</w:t>
      </w:r>
      <w:r w:rsidRPr="00FA3306">
        <w:t xml:space="preserve"> and protecting unspent funds</w:t>
      </w:r>
      <w:r>
        <w:t>.</w:t>
      </w:r>
    </w:p>
    <w:p w14:paraId="7ADE4CC5" w14:textId="5ACA4E2D" w:rsidR="001B3691" w:rsidRPr="00E72F5D" w:rsidRDefault="001B3691" w:rsidP="001B3691">
      <w:pPr>
        <w:pStyle w:val="Numberedbullet"/>
      </w:pPr>
      <w:r w:rsidRPr="00333F8B">
        <w:rPr>
          <w:b/>
          <w:i/>
        </w:rPr>
        <w:t>Specific arrangement</w:t>
      </w:r>
      <w:r w:rsidR="002A63B4">
        <w:rPr>
          <w:b/>
          <w:i/>
        </w:rPr>
        <w:t>s will have to be agreed and</w:t>
      </w:r>
      <w:r w:rsidRPr="00333F8B">
        <w:rPr>
          <w:b/>
          <w:i/>
        </w:rPr>
        <w:t xml:space="preserve"> in place to manage budget support funds</w:t>
      </w:r>
      <w:r w:rsidRPr="00E72F5D">
        <w:t>. There are a range of issues that will need to be considered when establishing the financial management arrangements, including how funds will be handled, how underspends in any given period will be reallocated and reported on and what protections if any development partners will require.</w:t>
      </w:r>
    </w:p>
    <w:p w14:paraId="3D341BDA" w14:textId="6713669C" w:rsidR="001B3691" w:rsidRPr="00FA3306" w:rsidRDefault="001B3691" w:rsidP="001B3691">
      <w:pPr>
        <w:pStyle w:val="Numberedpara"/>
      </w:pPr>
      <w:r w:rsidRPr="00333F8B">
        <w:rPr>
          <w:b/>
        </w:rPr>
        <w:t>Efforts to maximise absorptive capacity</w:t>
      </w:r>
      <w:r w:rsidRPr="00FA3306">
        <w:t xml:space="preserve"> </w:t>
      </w:r>
      <w:r w:rsidR="002A63B4">
        <w:t>are important</w:t>
      </w:r>
      <w:r>
        <w:t xml:space="preserve">. </w:t>
      </w:r>
    </w:p>
    <w:p w14:paraId="131D3E75" w14:textId="3590972E" w:rsidR="001B3691" w:rsidRPr="00E72F5D" w:rsidRDefault="001B3691" w:rsidP="001B3691">
      <w:pPr>
        <w:pStyle w:val="Numberedbullet"/>
      </w:pPr>
      <w:r w:rsidRPr="00333F8B">
        <w:rPr>
          <w:b/>
          <w:i/>
        </w:rPr>
        <w:t xml:space="preserve">Funding ceilings </w:t>
      </w:r>
      <w:r w:rsidRPr="00E72F5D">
        <w:t>in the form of nominal amounts or as a percentage of appropriations and actual expenditure (e.g. 60% maximum for the percentage of budget support against appropriations and actual expenditure)</w:t>
      </w:r>
      <w:r w:rsidR="002A63B4">
        <w:t xml:space="preserve"> need consideration</w:t>
      </w:r>
      <w:r w:rsidRPr="00E72F5D">
        <w:t>.</w:t>
      </w:r>
    </w:p>
    <w:p w14:paraId="63F1D42F" w14:textId="56A0469A" w:rsidR="001B3691" w:rsidRPr="00E72F5D" w:rsidRDefault="001B3691" w:rsidP="001B3691">
      <w:pPr>
        <w:pStyle w:val="Numberedbullet"/>
      </w:pPr>
      <w:r w:rsidRPr="00F95068">
        <w:rPr>
          <w:b/>
          <w:i/>
        </w:rPr>
        <w:t>A single plan, single audit and single monitoring</w:t>
      </w:r>
      <w:r w:rsidR="002A63B4">
        <w:rPr>
          <w:b/>
          <w:i/>
        </w:rPr>
        <w:t xml:space="preserve"> and evaluation system</w:t>
      </w:r>
      <w:r w:rsidRPr="00F95068">
        <w:rPr>
          <w:b/>
          <w:i/>
        </w:rPr>
        <w:t xml:space="preserve"> adopted</w:t>
      </w:r>
      <w:r w:rsidRPr="00E72F5D">
        <w:rPr>
          <w:b/>
        </w:rPr>
        <w:t xml:space="preserve">. </w:t>
      </w:r>
      <w:r w:rsidRPr="00E72F5D">
        <w:t xml:space="preserve">This will minimize transactions costs including minimizing the administrative burden placed on the Government associated with administering grant agreements. </w:t>
      </w:r>
    </w:p>
    <w:p w14:paraId="4F660C6E" w14:textId="77777777" w:rsidR="001B3691" w:rsidRPr="00FA3306" w:rsidRDefault="001B3691" w:rsidP="001B3691">
      <w:pPr>
        <w:pStyle w:val="ReportHeading2"/>
      </w:pPr>
      <w:r w:rsidRPr="00FA3306">
        <w:t xml:space="preserve">C) Budget and Accounting treatments, Fund Flows </w:t>
      </w:r>
    </w:p>
    <w:p w14:paraId="18F7AD62" w14:textId="4D374144" w:rsidR="001B3691" w:rsidRPr="00F95068" w:rsidRDefault="001B3691" w:rsidP="001B3691">
      <w:pPr>
        <w:pStyle w:val="Numberedpara"/>
      </w:pPr>
      <w:r w:rsidRPr="00F95068">
        <w:rPr>
          <w:b/>
        </w:rPr>
        <w:t>Program budget support should be included in the appropriate budget papers</w:t>
      </w:r>
      <w:r w:rsidR="002A63B4">
        <w:t>. It is important that the budget</w:t>
      </w:r>
      <w:r w:rsidR="002A63B4" w:rsidRPr="00F95068">
        <w:t xml:space="preserve"> </w:t>
      </w:r>
      <w:r w:rsidR="002A63B4">
        <w:t>includes the fu</w:t>
      </w:r>
      <w:r w:rsidR="002A63B4" w:rsidRPr="00F95068">
        <w:t xml:space="preserve">nds provided in this program </w:t>
      </w:r>
      <w:r w:rsidR="008D77AF">
        <w:t xml:space="preserve">and actual expenditure is included </w:t>
      </w:r>
      <w:r w:rsidRPr="00F95068">
        <w:t>in annual reporting. This reinforces the need for the program cycle to match the budget cycle.</w:t>
      </w:r>
    </w:p>
    <w:p w14:paraId="70C33EC6" w14:textId="5BCFA0A6" w:rsidR="001B3691" w:rsidRPr="00645DB7" w:rsidRDefault="001B3691" w:rsidP="001B3691">
      <w:pPr>
        <w:pStyle w:val="Numberedpara"/>
        <w:rPr>
          <w:bCs/>
        </w:rPr>
      </w:pPr>
      <w:r w:rsidRPr="00F95068">
        <w:rPr>
          <w:b/>
        </w:rPr>
        <w:t>Transactions under the framework should be in the AFMIS</w:t>
      </w:r>
      <w:r w:rsidRPr="00645DB7">
        <w:t xml:space="preserve"> general ledger. </w:t>
      </w:r>
    </w:p>
    <w:p w14:paraId="0D4C1849" w14:textId="482A8B08" w:rsidR="001B3691" w:rsidRPr="00FA3306" w:rsidRDefault="008D77AF" w:rsidP="001B3691">
      <w:pPr>
        <w:pStyle w:val="Numberedpara"/>
        <w:rPr>
          <w:bCs/>
        </w:rPr>
      </w:pPr>
      <w:r>
        <w:rPr>
          <w:b/>
          <w:bCs/>
        </w:rPr>
        <w:t>Foreign assistance should disburse</w:t>
      </w:r>
      <w:r w:rsidR="001B3691" w:rsidRPr="00F95068">
        <w:rPr>
          <w:b/>
          <w:bCs/>
        </w:rPr>
        <w:t xml:space="preserve"> into a single Government nominated Bank Account</w:t>
      </w:r>
      <w:r w:rsidR="001B3691" w:rsidRPr="00FA3306">
        <w:rPr>
          <w:bCs/>
        </w:rPr>
        <w:t xml:space="preserve"> (</w:t>
      </w:r>
      <w:r w:rsidR="001B3691">
        <w:rPr>
          <w:bCs/>
        </w:rPr>
        <w:t xml:space="preserve">central bank </w:t>
      </w:r>
      <w:r w:rsidR="001B3691" w:rsidRPr="00FA3306">
        <w:rPr>
          <w:bCs/>
        </w:rPr>
        <w:t xml:space="preserve">or commercial) </w:t>
      </w:r>
      <w:r w:rsidR="001B3691">
        <w:t xml:space="preserve">where </w:t>
      </w:r>
      <w:r w:rsidR="001B3691" w:rsidRPr="00FA3306">
        <w:t>funds from diffe</w:t>
      </w:r>
      <w:r>
        <w:t>rent donors comingle</w:t>
      </w:r>
      <w:r w:rsidR="001B3691" w:rsidRPr="00FA3306">
        <w:t xml:space="preserve">. </w:t>
      </w:r>
      <w:r>
        <w:t>If there is agreement</w:t>
      </w:r>
      <w:r w:rsidR="001B3691">
        <w:t xml:space="preserve"> to use the central bank and the TSA then c</w:t>
      </w:r>
      <w:r w:rsidR="001B3691" w:rsidRPr="00FA3306">
        <w:t>omingling with appropriated own so</w:t>
      </w:r>
      <w:r w:rsidR="001B3691">
        <w:t xml:space="preserve">urce (non-grant) funds could </w:t>
      </w:r>
      <w:r w:rsidR="001B3691" w:rsidRPr="00FA3306">
        <w:t>occur</w:t>
      </w:r>
      <w:r>
        <w:t xml:space="preserve"> but</w:t>
      </w:r>
      <w:r w:rsidR="001B3691">
        <w:t xml:space="preserve"> be managed by existing mechanisms like sub-accounts or special accounts. </w:t>
      </w:r>
      <w:r w:rsidR="001B3691" w:rsidRPr="00FA3306">
        <w:rPr>
          <w:bCs/>
        </w:rPr>
        <w:t xml:space="preserve"> </w:t>
      </w:r>
    </w:p>
    <w:p w14:paraId="3B4C60CB" w14:textId="77777777" w:rsidR="001B3691" w:rsidRPr="00FA3306" w:rsidRDefault="001B3691" w:rsidP="001B3691">
      <w:pPr>
        <w:pStyle w:val="Numberedpara"/>
      </w:pPr>
      <w:r w:rsidRPr="00F95068">
        <w:rPr>
          <w:b/>
          <w:bCs/>
        </w:rPr>
        <w:t>An annual disbursement schedule agreement</w:t>
      </w:r>
      <w:r w:rsidRPr="00F95068">
        <w:rPr>
          <w:b/>
        </w:rPr>
        <w:t xml:space="preserve"> will need to be established</w:t>
      </w:r>
      <w:r>
        <w:t>. This agreement might include provision for the Government</w:t>
      </w:r>
      <w:r w:rsidRPr="00FA3306">
        <w:t xml:space="preserve"> to write to donor</w:t>
      </w:r>
      <w:r>
        <w:t>s requesting payment and</w:t>
      </w:r>
      <w:r w:rsidRPr="00FA3306">
        <w:t xml:space="preserve"> identify</w:t>
      </w:r>
      <w:r>
        <w:t>ing</w:t>
      </w:r>
      <w:r w:rsidRPr="00FA3306">
        <w:t xml:space="preserve"> special account banking information for transfer and deposit of funds. </w:t>
      </w:r>
    </w:p>
    <w:p w14:paraId="7C2A0F07" w14:textId="77777777" w:rsidR="001B3691" w:rsidRPr="00FA3306" w:rsidRDefault="001B3691" w:rsidP="001B3691">
      <w:pPr>
        <w:pStyle w:val="ReportHeading2"/>
      </w:pPr>
      <w:r w:rsidRPr="00FA3306">
        <w:t>C) Procurement</w:t>
      </w:r>
    </w:p>
    <w:p w14:paraId="748F8417" w14:textId="39E050FB" w:rsidR="001B3691" w:rsidRPr="00FA3306" w:rsidRDefault="001B3691" w:rsidP="001B3691">
      <w:pPr>
        <w:pStyle w:val="Numberedpara"/>
      </w:pPr>
      <w:r>
        <w:rPr>
          <w:b/>
          <w:bCs/>
        </w:rPr>
        <w:t>Nat</w:t>
      </w:r>
      <w:r w:rsidR="008D77AF">
        <w:rPr>
          <w:b/>
          <w:bCs/>
        </w:rPr>
        <w:t>ional procurement systems</w:t>
      </w:r>
      <w:r w:rsidRPr="00FA3306">
        <w:rPr>
          <w:b/>
          <w:bCs/>
        </w:rPr>
        <w:t xml:space="preserve"> used </w:t>
      </w:r>
      <w:r w:rsidRPr="00FA3306">
        <w:t>in accordance with proc</w:t>
      </w:r>
      <w:r>
        <w:t>urement policies or</w:t>
      </w:r>
      <w:r w:rsidRPr="00FA3306">
        <w:t xml:space="preserve"> legislation or covered through pilot arrangements as part of the </w:t>
      </w:r>
      <w:r>
        <w:t xml:space="preserve">PFM </w:t>
      </w:r>
      <w:r w:rsidRPr="00FA3306">
        <w:t xml:space="preserve">reform process. </w:t>
      </w:r>
    </w:p>
    <w:p w14:paraId="40CB4CA2" w14:textId="759A10C3" w:rsidR="001B3691" w:rsidRPr="00FA3306" w:rsidRDefault="001B3691" w:rsidP="001B3691">
      <w:pPr>
        <w:pStyle w:val="Numberedpara"/>
      </w:pPr>
      <w:r>
        <w:rPr>
          <w:b/>
          <w:bCs/>
        </w:rPr>
        <w:t xml:space="preserve">The Government </w:t>
      </w:r>
      <w:r w:rsidRPr="00FA3306">
        <w:rPr>
          <w:b/>
          <w:bCs/>
        </w:rPr>
        <w:t xml:space="preserve">and participating donors </w:t>
      </w:r>
      <w:r>
        <w:rPr>
          <w:b/>
          <w:bCs/>
        </w:rPr>
        <w:t>will need to agree on how</w:t>
      </w:r>
      <w:r w:rsidR="008D77AF">
        <w:rPr>
          <w:b/>
          <w:bCs/>
        </w:rPr>
        <w:t xml:space="preserve"> to manage </w:t>
      </w:r>
      <w:r w:rsidRPr="00FA3306">
        <w:rPr>
          <w:b/>
          <w:bCs/>
        </w:rPr>
        <w:t>procurement</w:t>
      </w:r>
      <w:r w:rsidR="008D77AF">
        <w:rPr>
          <w:b/>
          <w:bCs/>
        </w:rPr>
        <w:t>. This could be</w:t>
      </w:r>
      <w:r w:rsidRPr="00FA3306">
        <w:rPr>
          <w:b/>
          <w:bCs/>
        </w:rPr>
        <w:t xml:space="preserve"> </w:t>
      </w:r>
      <w:r>
        <w:t>through</w:t>
      </w:r>
      <w:r w:rsidRPr="00FA3306">
        <w:t xml:space="preserve"> reporting arrangements as reflected in the Joint Monitoring Matrix, Mutually Agreeable Results targets,</w:t>
      </w:r>
      <w:r>
        <w:t xml:space="preserve"> and program specific r</w:t>
      </w:r>
      <w:r w:rsidRPr="00FA3306">
        <w:t xml:space="preserve">eporting arrangements as agreed on an annual basis. </w:t>
      </w:r>
    </w:p>
    <w:p w14:paraId="5247BA71" w14:textId="77777777" w:rsidR="001B3691" w:rsidRPr="00321E4B" w:rsidRDefault="001B3691" w:rsidP="001B3691">
      <w:pPr>
        <w:rPr>
          <w:b/>
          <w:sz w:val="28"/>
          <w:szCs w:val="28"/>
        </w:rPr>
      </w:pPr>
      <w:r w:rsidRPr="00321E4B">
        <w:rPr>
          <w:b/>
          <w:sz w:val="28"/>
          <w:szCs w:val="28"/>
        </w:rPr>
        <w:t>Medium Term Resourcing Envelope</w:t>
      </w:r>
    </w:p>
    <w:p w14:paraId="24C867DB" w14:textId="693CA587" w:rsidR="001B3691" w:rsidRPr="00FA3306" w:rsidRDefault="008D77AF" w:rsidP="001B3691">
      <w:pPr>
        <w:pStyle w:val="Numberedpara"/>
      </w:pPr>
      <w:r>
        <w:rPr>
          <w:b/>
          <w:bCs/>
        </w:rPr>
        <w:lastRenderedPageBreak/>
        <w:t>It is important to have confirmation of t</w:t>
      </w:r>
      <w:r w:rsidR="001B3691" w:rsidRPr="00F95068">
        <w:rPr>
          <w:b/>
          <w:bCs/>
        </w:rPr>
        <w:t xml:space="preserve">he medium term resourcing envelope including indicative projections for </w:t>
      </w:r>
      <w:r w:rsidR="001B3691" w:rsidRPr="00F95068">
        <w:rPr>
          <w:b/>
        </w:rPr>
        <w:t>programme</w:t>
      </w:r>
      <w:r>
        <w:rPr>
          <w:b/>
          <w:bCs/>
        </w:rPr>
        <w:t xml:space="preserve"> budget support. </w:t>
      </w:r>
      <w:r w:rsidR="001B3691" w:rsidRPr="00F95068">
        <w:rPr>
          <w:b/>
          <w:bCs/>
        </w:rPr>
        <w:t xml:space="preserve"> </w:t>
      </w:r>
      <w:r>
        <w:t>B</w:t>
      </w:r>
      <w:r w:rsidR="001B3691" w:rsidRPr="00FA3306">
        <w:t>ased on MoF</w:t>
      </w:r>
      <w:r w:rsidR="001B3691">
        <w:t xml:space="preserve"> projections included in the national</w:t>
      </w:r>
      <w:r w:rsidR="001B3691" w:rsidRPr="00FA3306">
        <w:t xml:space="preserve"> budget </w:t>
      </w:r>
      <w:r w:rsidR="001B3691">
        <w:t>prior to the first year of operation of the Framework.</w:t>
      </w:r>
    </w:p>
    <w:p w14:paraId="3744F821" w14:textId="6F4D89DD" w:rsidR="001B3691" w:rsidRDefault="001B3691" w:rsidP="001B3691">
      <w:pPr>
        <w:pStyle w:val="Numberedpara"/>
      </w:pPr>
      <w:r w:rsidRPr="00F95068">
        <w:rPr>
          <w:b/>
        </w:rPr>
        <w:t>A systematic but fl</w:t>
      </w:r>
      <w:r w:rsidR="008D77AF">
        <w:rPr>
          <w:b/>
        </w:rPr>
        <w:t>exible approach</w:t>
      </w:r>
      <w:r w:rsidRPr="00F95068">
        <w:rPr>
          <w:b/>
        </w:rPr>
        <w:t xml:space="preserve"> for dealing with fungability and additionality concerns</w:t>
      </w:r>
      <w:r w:rsidR="008D77AF">
        <w:rPr>
          <w:b/>
        </w:rPr>
        <w:t xml:space="preserve"> is desirable</w:t>
      </w:r>
      <w:r w:rsidRPr="00FA3306">
        <w:t>. This</w:t>
      </w:r>
      <w:r>
        <w:t xml:space="preserve"> could</w:t>
      </w:r>
      <w:r w:rsidRPr="00FA3306">
        <w:t xml:space="preserve"> </w:t>
      </w:r>
      <w:r>
        <w:t>involve</w:t>
      </w:r>
      <w:r w:rsidRPr="00FA3306">
        <w:t xml:space="preserve"> the use of: </w:t>
      </w:r>
    </w:p>
    <w:p w14:paraId="6BEFCCF9" w14:textId="77777777" w:rsidR="001B3691" w:rsidRDefault="001B3691" w:rsidP="001B3691">
      <w:pPr>
        <w:pStyle w:val="Numberedbullet"/>
      </w:pPr>
      <w:r w:rsidRPr="00F95068">
        <w:rPr>
          <w:b/>
        </w:rPr>
        <w:t xml:space="preserve">a </w:t>
      </w:r>
      <w:r w:rsidRPr="00F95068">
        <w:rPr>
          <w:b/>
          <w:i/>
          <w:iCs/>
        </w:rPr>
        <w:t>special bank account</w:t>
      </w:r>
      <w:r w:rsidRPr="00FA3306">
        <w:t xml:space="preserve"> initially to ensure unused funds are tracked and accounting controls can</w:t>
      </w:r>
      <w:r>
        <w:t xml:space="preserve"> be used increasingly well; </w:t>
      </w:r>
    </w:p>
    <w:p w14:paraId="69975521" w14:textId="77777777" w:rsidR="001B3691" w:rsidRDefault="001B3691" w:rsidP="001B3691">
      <w:pPr>
        <w:pStyle w:val="Numberedbullet"/>
      </w:pPr>
      <w:r w:rsidRPr="00F95068">
        <w:rPr>
          <w:b/>
          <w:i/>
          <w:iCs/>
        </w:rPr>
        <w:t>dialogue</w:t>
      </w:r>
      <w:r w:rsidRPr="00FA3306">
        <w:t xml:space="preserve"> based aroun</w:t>
      </w:r>
      <w:r>
        <w:t>d the budget cycle to ensure the Government</w:t>
      </w:r>
      <w:r w:rsidRPr="00FA3306">
        <w:t xml:space="preserve"> and development partners are in agreement </w:t>
      </w:r>
      <w:r>
        <w:t xml:space="preserve">about the </w:t>
      </w:r>
      <w:r w:rsidRPr="00FA3306">
        <w:t>level of resourcing and spending prior</w:t>
      </w:r>
      <w:r>
        <w:t xml:space="preserve">ities for the budget year; </w:t>
      </w:r>
    </w:p>
    <w:p w14:paraId="6DA9C9BF" w14:textId="77777777" w:rsidR="001B3691" w:rsidRDefault="001B3691" w:rsidP="001B3691">
      <w:pPr>
        <w:pStyle w:val="Numberedbullet"/>
      </w:pPr>
      <w:r w:rsidRPr="00F95068">
        <w:rPr>
          <w:b/>
          <w:i/>
          <w:iCs/>
        </w:rPr>
        <w:t>analysis</w:t>
      </w:r>
      <w:r w:rsidRPr="00FA3306">
        <w:t xml:space="preserve"> is undertaken to test for side-funnelling where there is an indication that this might be happening (intentional</w:t>
      </w:r>
      <w:r>
        <w:t>ly or unintentionally);</w:t>
      </w:r>
    </w:p>
    <w:p w14:paraId="25ADA0C5" w14:textId="77777777" w:rsidR="001B3691" w:rsidRDefault="001B3691" w:rsidP="001B3691">
      <w:pPr>
        <w:pStyle w:val="Numberedbullet"/>
      </w:pPr>
      <w:r w:rsidRPr="00F95068">
        <w:rPr>
          <w:b/>
          <w:i/>
          <w:iCs/>
        </w:rPr>
        <w:t>funding and expenditure floors and ceilings</w:t>
      </w:r>
      <w:r w:rsidRPr="00FA3306">
        <w:t xml:space="preserve"> may be used as mutually agreed (with floors and ceilings being either nominal amounts or a percentage-based figure). </w:t>
      </w:r>
    </w:p>
    <w:p w14:paraId="10FD6D20" w14:textId="77777777" w:rsidR="001B3691" w:rsidRPr="00FA3306" w:rsidRDefault="001B3691" w:rsidP="001B3691">
      <w:pPr>
        <w:pStyle w:val="Numberedpara"/>
      </w:pPr>
      <w:r w:rsidRPr="00F95068">
        <w:rPr>
          <w:b/>
        </w:rPr>
        <w:t>The Government and the development partners will also need to agree if there is to be any inclusion of ineligible expenditure items</w:t>
      </w:r>
      <w:r w:rsidRPr="00FA3306">
        <w:t xml:space="preserve"> during the life of the </w:t>
      </w:r>
      <w:r>
        <w:t>program. Any such agreement</w:t>
      </w:r>
      <w:r w:rsidRPr="00FA3306">
        <w:t xml:space="preserve"> if made </w:t>
      </w:r>
      <w:r>
        <w:t>should reflect</w:t>
      </w:r>
      <w:r w:rsidRPr="00FA3306">
        <w:t xml:space="preserve"> an attempt to help manage reputation and political risks borne by development partners. </w:t>
      </w:r>
    </w:p>
    <w:p w14:paraId="65502A02" w14:textId="77777777" w:rsidR="001B3691" w:rsidRPr="000767C0" w:rsidRDefault="001B3691" w:rsidP="001B3691">
      <w:pPr>
        <w:rPr>
          <w:rFonts w:asciiTheme="minorHAnsi" w:hAnsiTheme="minorHAnsi"/>
          <w:i/>
          <w:color w:val="EB130B" w:themeColor="accent1" w:themeShade="BF"/>
        </w:rPr>
      </w:pPr>
      <w:r w:rsidRPr="000767C0">
        <w:rPr>
          <w:rFonts w:asciiTheme="minorHAnsi" w:hAnsiTheme="minorHAnsi"/>
          <w:i/>
          <w:color w:val="EB130B" w:themeColor="accent1" w:themeShade="BF"/>
        </w:rPr>
        <w:t>In-Kind and Analytical Advisory Assistance</w:t>
      </w:r>
    </w:p>
    <w:p w14:paraId="4F687035" w14:textId="030ED223" w:rsidR="001B3691" w:rsidRDefault="001B3691" w:rsidP="001B3691">
      <w:pPr>
        <w:pStyle w:val="Numberedpara"/>
      </w:pPr>
      <w:r w:rsidRPr="00FA3306">
        <w:rPr>
          <w:b/>
          <w:bCs/>
        </w:rPr>
        <w:t>Development partners in accordance with the Gov</w:t>
      </w:r>
      <w:r>
        <w:rPr>
          <w:b/>
          <w:bCs/>
        </w:rPr>
        <w:t>ernment’s strategic plans and 5-</w:t>
      </w:r>
      <w:r w:rsidRPr="00FA3306">
        <w:rPr>
          <w:b/>
          <w:bCs/>
        </w:rPr>
        <w:t>year rolling Annual Action Plans can also provide in-kind assistance</w:t>
      </w:r>
      <w:r w:rsidRPr="00FA3306">
        <w:t xml:space="preserve">. </w:t>
      </w:r>
      <w:r>
        <w:t>The Government would develop a technical assistance policy that makes it explicit t</w:t>
      </w:r>
      <w:r w:rsidR="008D77AF">
        <w:t>hat for this program, TA must link</w:t>
      </w:r>
      <w:r>
        <w:t xml:space="preserve"> to gaps identified in the annual action plans.</w:t>
      </w:r>
    </w:p>
    <w:p w14:paraId="74A58727" w14:textId="6DBD01D3" w:rsidR="001B3691" w:rsidRDefault="001B3691" w:rsidP="001B3691">
      <w:pPr>
        <w:pStyle w:val="Numberedpara"/>
      </w:pPr>
      <w:r w:rsidRPr="00F95068">
        <w:rPr>
          <w:b/>
        </w:rPr>
        <w:t>Work needs to start now.</w:t>
      </w:r>
      <w:r>
        <w:t xml:space="preserve"> If the Government and the development par</w:t>
      </w:r>
      <w:r w:rsidR="008D77AF">
        <w:t>tners pursue a targeted sector,</w:t>
      </w:r>
      <w:r>
        <w:t xml:space="preserve"> budget support framework following this broad outline there is much work to do. The preconditions for such an arrangement are not in place. A reasonable timeframe for achieving some credible preconditions and for establishing the necessary agreements would be the start of the 2017 / 1396 fiscal year.</w:t>
      </w:r>
    </w:p>
    <w:p w14:paraId="06FBFE55" w14:textId="3AC6FDAE" w:rsidR="000767C0" w:rsidRDefault="000767C0" w:rsidP="000767C0"/>
    <w:p w14:paraId="7EFEC8B6" w14:textId="319293F9" w:rsidR="003B7009" w:rsidRDefault="003B7009">
      <w:pPr>
        <w:spacing w:after="200" w:line="312" w:lineRule="auto"/>
      </w:pPr>
      <w:r>
        <w:br w:type="page"/>
      </w:r>
    </w:p>
    <w:p w14:paraId="6872AD74" w14:textId="7857892C" w:rsidR="003B7009" w:rsidRDefault="003B7009" w:rsidP="003B7009">
      <w:pPr>
        <w:pStyle w:val="Heading2"/>
        <w:rPr>
          <w:rStyle w:val="Emphasis"/>
        </w:rPr>
      </w:pPr>
      <w:bookmarkStart w:id="90" w:name="_Ref443819237"/>
      <w:bookmarkStart w:id="91" w:name="_Toc457162632"/>
      <w:r>
        <w:rPr>
          <w:rStyle w:val="Emphasis"/>
        </w:rPr>
        <w:lastRenderedPageBreak/>
        <w:t>Attachment E</w:t>
      </w:r>
      <w:r w:rsidRPr="00FE5C2E">
        <w:rPr>
          <w:rStyle w:val="Emphasis"/>
        </w:rPr>
        <w:t xml:space="preserve">: </w:t>
      </w:r>
      <w:r>
        <w:rPr>
          <w:rStyle w:val="Emphasis"/>
        </w:rPr>
        <w:t>Costings and Resource Allocations</w:t>
      </w:r>
      <w:bookmarkEnd w:id="90"/>
      <w:bookmarkEnd w:id="91"/>
    </w:p>
    <w:p w14:paraId="51364403" w14:textId="57B570D4" w:rsidR="0066493F" w:rsidRPr="0066493F" w:rsidRDefault="0066493F" w:rsidP="0066493F">
      <w:pPr>
        <w:pStyle w:val="TableHeader1"/>
      </w:pPr>
      <w:bookmarkStart w:id="92" w:name="_Toc457162646"/>
      <w:r>
        <w:t>Costings by Directorate (US$)</w:t>
      </w:r>
      <w:bookmarkEnd w:id="92"/>
    </w:p>
    <w:tbl>
      <w:tblPr>
        <w:tblW w:w="5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172"/>
        <w:gridCol w:w="1172"/>
        <w:gridCol w:w="1174"/>
        <w:gridCol w:w="1172"/>
        <w:gridCol w:w="1172"/>
        <w:gridCol w:w="1174"/>
      </w:tblGrid>
      <w:tr w:rsidR="00D61677" w:rsidRPr="003B7009" w14:paraId="516D5171" w14:textId="77777777" w:rsidTr="00E57C0E">
        <w:trPr>
          <w:trHeight w:val="20"/>
          <w:tblHeader/>
        </w:trPr>
        <w:tc>
          <w:tcPr>
            <w:tcW w:w="1289" w:type="pct"/>
            <w:shd w:val="clear" w:color="000000" w:fill="B8CCE4"/>
            <w:vAlign w:val="center"/>
            <w:hideMark/>
          </w:tcPr>
          <w:p w14:paraId="5C1D5984" w14:textId="41EF6BB5" w:rsidR="003B7009" w:rsidRPr="003B7009" w:rsidRDefault="003B7009" w:rsidP="003B7009">
            <w:pPr>
              <w:rPr>
                <w:rFonts w:asciiTheme="minorHAnsi" w:hAnsiTheme="minorHAnsi"/>
                <w:sz w:val="16"/>
                <w:szCs w:val="16"/>
              </w:rPr>
            </w:pPr>
          </w:p>
        </w:tc>
        <w:tc>
          <w:tcPr>
            <w:tcW w:w="618" w:type="pct"/>
            <w:shd w:val="clear" w:color="000000" w:fill="B8CCE4"/>
            <w:vAlign w:val="center"/>
            <w:hideMark/>
          </w:tcPr>
          <w:p w14:paraId="6D000A32" w14:textId="1FEACCE6" w:rsidR="003B7009" w:rsidRPr="003B7009" w:rsidRDefault="00FC4426" w:rsidP="00D61677">
            <w:pPr>
              <w:jc w:val="center"/>
              <w:rPr>
                <w:rFonts w:asciiTheme="minorHAnsi" w:hAnsiTheme="minorHAnsi"/>
                <w:b/>
                <w:sz w:val="16"/>
                <w:szCs w:val="16"/>
              </w:rPr>
            </w:pPr>
            <w:r w:rsidRPr="00D61677">
              <w:rPr>
                <w:rFonts w:asciiTheme="minorHAnsi" w:hAnsiTheme="minorHAnsi"/>
                <w:b/>
                <w:sz w:val="16"/>
                <w:szCs w:val="16"/>
              </w:rPr>
              <w:t>Emp. Compensation</w:t>
            </w:r>
          </w:p>
        </w:tc>
        <w:tc>
          <w:tcPr>
            <w:tcW w:w="618" w:type="pct"/>
            <w:shd w:val="clear" w:color="000000" w:fill="B8CCE4"/>
            <w:vAlign w:val="center"/>
            <w:hideMark/>
          </w:tcPr>
          <w:p w14:paraId="359419EC" w14:textId="433827B1" w:rsidR="003B7009" w:rsidRPr="003B7009" w:rsidRDefault="003B7009" w:rsidP="00D61677">
            <w:pPr>
              <w:jc w:val="center"/>
              <w:rPr>
                <w:rFonts w:asciiTheme="minorHAnsi" w:hAnsiTheme="minorHAnsi"/>
                <w:b/>
                <w:sz w:val="16"/>
                <w:szCs w:val="16"/>
              </w:rPr>
            </w:pPr>
            <w:r w:rsidRPr="003B7009">
              <w:rPr>
                <w:rFonts w:asciiTheme="minorHAnsi" w:hAnsiTheme="minorHAnsi"/>
                <w:b/>
                <w:sz w:val="16"/>
                <w:szCs w:val="16"/>
              </w:rPr>
              <w:t>TA</w:t>
            </w:r>
            <w:r w:rsidR="00FC4426" w:rsidRPr="00D61677">
              <w:rPr>
                <w:rFonts w:asciiTheme="minorHAnsi" w:hAnsiTheme="minorHAnsi"/>
                <w:b/>
                <w:sz w:val="16"/>
                <w:szCs w:val="16"/>
              </w:rPr>
              <w:t xml:space="preserve"> </w:t>
            </w:r>
            <w:r w:rsidRPr="003B7009">
              <w:rPr>
                <w:rFonts w:asciiTheme="minorHAnsi" w:hAnsiTheme="minorHAnsi"/>
                <w:b/>
                <w:sz w:val="16"/>
                <w:szCs w:val="16"/>
              </w:rPr>
              <w:t>Compensation</w:t>
            </w:r>
          </w:p>
        </w:tc>
        <w:tc>
          <w:tcPr>
            <w:tcW w:w="619" w:type="pct"/>
            <w:shd w:val="clear" w:color="000000" w:fill="B8CCE4"/>
            <w:vAlign w:val="center"/>
            <w:hideMark/>
          </w:tcPr>
          <w:p w14:paraId="0DB35305" w14:textId="14145368" w:rsidR="003B7009" w:rsidRPr="003B7009" w:rsidRDefault="003B7009" w:rsidP="00D61677">
            <w:pPr>
              <w:jc w:val="center"/>
              <w:rPr>
                <w:rFonts w:asciiTheme="minorHAnsi" w:hAnsiTheme="minorHAnsi"/>
                <w:b/>
                <w:sz w:val="16"/>
                <w:szCs w:val="16"/>
              </w:rPr>
            </w:pPr>
            <w:r w:rsidRPr="003B7009">
              <w:rPr>
                <w:rFonts w:asciiTheme="minorHAnsi" w:hAnsiTheme="minorHAnsi"/>
                <w:b/>
                <w:sz w:val="16"/>
                <w:szCs w:val="16"/>
              </w:rPr>
              <w:t>G&amp;S</w:t>
            </w:r>
          </w:p>
        </w:tc>
        <w:tc>
          <w:tcPr>
            <w:tcW w:w="618" w:type="pct"/>
            <w:shd w:val="clear" w:color="000000" w:fill="B8CCE4"/>
            <w:vAlign w:val="center"/>
            <w:hideMark/>
          </w:tcPr>
          <w:p w14:paraId="3384A9F4" w14:textId="59D9C0DD" w:rsidR="003B7009" w:rsidRPr="003B7009" w:rsidRDefault="003B7009" w:rsidP="00D61677">
            <w:pPr>
              <w:jc w:val="center"/>
              <w:rPr>
                <w:rFonts w:asciiTheme="minorHAnsi" w:hAnsiTheme="minorHAnsi"/>
                <w:b/>
                <w:sz w:val="16"/>
                <w:szCs w:val="16"/>
              </w:rPr>
            </w:pPr>
            <w:r w:rsidRPr="003B7009">
              <w:rPr>
                <w:rFonts w:asciiTheme="minorHAnsi" w:hAnsiTheme="minorHAnsi"/>
                <w:b/>
                <w:sz w:val="16"/>
                <w:szCs w:val="16"/>
              </w:rPr>
              <w:t>Capital</w:t>
            </w:r>
          </w:p>
        </w:tc>
        <w:tc>
          <w:tcPr>
            <w:tcW w:w="618" w:type="pct"/>
            <w:shd w:val="clear" w:color="000000" w:fill="B8CCE4"/>
            <w:vAlign w:val="center"/>
            <w:hideMark/>
          </w:tcPr>
          <w:p w14:paraId="0378C5E5" w14:textId="55FCCF81" w:rsidR="003B7009" w:rsidRPr="003B7009" w:rsidRDefault="003B7009" w:rsidP="00D61677">
            <w:pPr>
              <w:jc w:val="center"/>
              <w:rPr>
                <w:rFonts w:asciiTheme="minorHAnsi" w:hAnsiTheme="minorHAnsi"/>
                <w:b/>
                <w:sz w:val="16"/>
                <w:szCs w:val="16"/>
              </w:rPr>
            </w:pPr>
            <w:r w:rsidRPr="003B7009">
              <w:rPr>
                <w:rFonts w:asciiTheme="minorHAnsi" w:hAnsiTheme="minorHAnsi"/>
                <w:b/>
                <w:sz w:val="16"/>
                <w:szCs w:val="16"/>
              </w:rPr>
              <w:t>Grand</w:t>
            </w:r>
            <w:r w:rsidR="00FC4426" w:rsidRPr="00D61677">
              <w:rPr>
                <w:rFonts w:asciiTheme="minorHAnsi" w:hAnsiTheme="minorHAnsi"/>
                <w:b/>
                <w:sz w:val="16"/>
                <w:szCs w:val="16"/>
              </w:rPr>
              <w:t xml:space="preserve"> </w:t>
            </w:r>
            <w:r w:rsidRPr="003B7009">
              <w:rPr>
                <w:rFonts w:asciiTheme="minorHAnsi" w:hAnsiTheme="minorHAnsi"/>
                <w:b/>
                <w:sz w:val="16"/>
                <w:szCs w:val="16"/>
              </w:rPr>
              <w:t>Total</w:t>
            </w:r>
          </w:p>
        </w:tc>
        <w:tc>
          <w:tcPr>
            <w:tcW w:w="619" w:type="pct"/>
            <w:shd w:val="clear" w:color="000000" w:fill="B8CCE4"/>
            <w:vAlign w:val="center"/>
            <w:hideMark/>
          </w:tcPr>
          <w:p w14:paraId="4B4C83E9" w14:textId="25BDA339" w:rsidR="003B7009" w:rsidRPr="003B7009" w:rsidRDefault="003B7009" w:rsidP="00D61677">
            <w:pPr>
              <w:jc w:val="center"/>
              <w:rPr>
                <w:rFonts w:asciiTheme="minorHAnsi" w:hAnsiTheme="minorHAnsi"/>
                <w:b/>
                <w:sz w:val="16"/>
                <w:szCs w:val="16"/>
              </w:rPr>
            </w:pPr>
            <w:r w:rsidRPr="003B7009">
              <w:rPr>
                <w:rFonts w:asciiTheme="minorHAnsi" w:hAnsiTheme="minorHAnsi"/>
                <w:b/>
                <w:sz w:val="16"/>
                <w:szCs w:val="16"/>
              </w:rPr>
              <w:t>TA</w:t>
            </w:r>
            <w:r w:rsidR="00FC4426" w:rsidRPr="00D61677">
              <w:rPr>
                <w:rFonts w:asciiTheme="minorHAnsi" w:hAnsiTheme="minorHAnsi"/>
                <w:b/>
                <w:sz w:val="16"/>
                <w:szCs w:val="16"/>
              </w:rPr>
              <w:t xml:space="preserve"> </w:t>
            </w:r>
            <w:r w:rsidRPr="003B7009">
              <w:rPr>
                <w:rFonts w:asciiTheme="minorHAnsi" w:hAnsiTheme="minorHAnsi"/>
                <w:b/>
                <w:sz w:val="16"/>
                <w:szCs w:val="16"/>
              </w:rPr>
              <w:t>Total</w:t>
            </w:r>
          </w:p>
        </w:tc>
      </w:tr>
      <w:tr w:rsidR="00D61677" w:rsidRPr="003B7009" w14:paraId="644C2704" w14:textId="77777777" w:rsidTr="00D61677">
        <w:trPr>
          <w:trHeight w:val="20"/>
        </w:trPr>
        <w:tc>
          <w:tcPr>
            <w:tcW w:w="1289" w:type="pct"/>
            <w:shd w:val="clear" w:color="000000" w:fill="4F81BD"/>
            <w:vAlign w:val="center"/>
            <w:hideMark/>
          </w:tcPr>
          <w:p w14:paraId="69DA470C"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1.0 Office of the Minister </w:t>
            </w:r>
          </w:p>
        </w:tc>
        <w:tc>
          <w:tcPr>
            <w:tcW w:w="618" w:type="pct"/>
            <w:shd w:val="clear" w:color="000000" w:fill="4F81BD"/>
            <w:vAlign w:val="center"/>
            <w:hideMark/>
          </w:tcPr>
          <w:p w14:paraId="75E47FE2" w14:textId="54C8C85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5A0AE9DA" w14:textId="5DFC916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1,260,417</w:t>
            </w:r>
          </w:p>
        </w:tc>
        <w:tc>
          <w:tcPr>
            <w:tcW w:w="619" w:type="pct"/>
            <w:shd w:val="clear" w:color="000000" w:fill="4F81BD"/>
            <w:vAlign w:val="center"/>
            <w:hideMark/>
          </w:tcPr>
          <w:p w14:paraId="6FBA27A2" w14:textId="2AB54CC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1,462,083</w:t>
            </w:r>
          </w:p>
        </w:tc>
        <w:tc>
          <w:tcPr>
            <w:tcW w:w="618" w:type="pct"/>
            <w:shd w:val="clear" w:color="000000" w:fill="4F81BD"/>
            <w:vAlign w:val="center"/>
            <w:hideMark/>
          </w:tcPr>
          <w:p w14:paraId="538F7114" w14:textId="3AC2CBF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250,417</w:t>
            </w:r>
          </w:p>
        </w:tc>
        <w:tc>
          <w:tcPr>
            <w:tcW w:w="618" w:type="pct"/>
            <w:shd w:val="clear" w:color="000000" w:fill="4F81BD"/>
            <w:vAlign w:val="center"/>
            <w:hideMark/>
          </w:tcPr>
          <w:p w14:paraId="40F1F697" w14:textId="30B8299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2,972,917</w:t>
            </w:r>
          </w:p>
        </w:tc>
        <w:tc>
          <w:tcPr>
            <w:tcW w:w="619" w:type="pct"/>
            <w:shd w:val="clear" w:color="000000" w:fill="4F81BD"/>
            <w:vAlign w:val="center"/>
            <w:hideMark/>
          </w:tcPr>
          <w:p w14:paraId="1D8DCF08" w14:textId="24BF211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2,772,917</w:t>
            </w:r>
          </w:p>
        </w:tc>
      </w:tr>
      <w:tr w:rsidR="00D61677" w:rsidRPr="003B7009" w14:paraId="3A6ECA43" w14:textId="77777777" w:rsidTr="00D61677">
        <w:trPr>
          <w:trHeight w:val="20"/>
        </w:trPr>
        <w:tc>
          <w:tcPr>
            <w:tcW w:w="1289" w:type="pct"/>
            <w:shd w:val="clear" w:color="000000" w:fill="95B3D7"/>
            <w:vAlign w:val="center"/>
            <w:hideMark/>
          </w:tcPr>
          <w:p w14:paraId="5881BEBC"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1.1 OoM: Communications and Public Relations Directorate</w:t>
            </w:r>
          </w:p>
        </w:tc>
        <w:tc>
          <w:tcPr>
            <w:tcW w:w="618" w:type="pct"/>
            <w:shd w:val="clear" w:color="000000" w:fill="95B3D7"/>
            <w:vAlign w:val="center"/>
            <w:hideMark/>
          </w:tcPr>
          <w:p w14:paraId="047F1CEC" w14:textId="09E038D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B854F6C" w14:textId="6C78001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43,750</w:t>
            </w:r>
          </w:p>
        </w:tc>
        <w:tc>
          <w:tcPr>
            <w:tcW w:w="619" w:type="pct"/>
            <w:shd w:val="clear" w:color="000000" w:fill="95B3D7"/>
            <w:vAlign w:val="center"/>
            <w:hideMark/>
          </w:tcPr>
          <w:p w14:paraId="644492DC" w14:textId="76305D7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50,750</w:t>
            </w:r>
          </w:p>
        </w:tc>
        <w:tc>
          <w:tcPr>
            <w:tcW w:w="618" w:type="pct"/>
            <w:shd w:val="clear" w:color="000000" w:fill="95B3D7"/>
            <w:vAlign w:val="center"/>
            <w:hideMark/>
          </w:tcPr>
          <w:p w14:paraId="35C2FDB4" w14:textId="28A9EDC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1,750</w:t>
            </w:r>
          </w:p>
        </w:tc>
        <w:tc>
          <w:tcPr>
            <w:tcW w:w="618" w:type="pct"/>
            <w:shd w:val="clear" w:color="000000" w:fill="95B3D7"/>
            <w:vAlign w:val="center"/>
            <w:hideMark/>
          </w:tcPr>
          <w:p w14:paraId="148BBEEE" w14:textId="3AFFB3B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96,250</w:t>
            </w:r>
          </w:p>
        </w:tc>
        <w:tc>
          <w:tcPr>
            <w:tcW w:w="619" w:type="pct"/>
            <w:shd w:val="clear" w:color="000000" w:fill="95B3D7"/>
            <w:vAlign w:val="center"/>
            <w:hideMark/>
          </w:tcPr>
          <w:p w14:paraId="50287073" w14:textId="4EC99B1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96,250</w:t>
            </w:r>
          </w:p>
        </w:tc>
      </w:tr>
      <w:tr w:rsidR="00D61677" w:rsidRPr="003B7009" w14:paraId="60E00441" w14:textId="77777777" w:rsidTr="00D61677">
        <w:trPr>
          <w:trHeight w:val="20"/>
        </w:trPr>
        <w:tc>
          <w:tcPr>
            <w:tcW w:w="1289" w:type="pct"/>
            <w:shd w:val="clear" w:color="000000" w:fill="95B3D7"/>
            <w:vAlign w:val="center"/>
            <w:hideMark/>
          </w:tcPr>
          <w:p w14:paraId="4752480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1.2 OoM: Correspondence Office</w:t>
            </w:r>
          </w:p>
        </w:tc>
        <w:tc>
          <w:tcPr>
            <w:tcW w:w="618" w:type="pct"/>
            <w:shd w:val="clear" w:color="000000" w:fill="95B3D7"/>
            <w:vAlign w:val="center"/>
            <w:hideMark/>
          </w:tcPr>
          <w:p w14:paraId="3AA30126" w14:textId="2BDA4E2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A6FF443" w14:textId="2355FA4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135,417</w:t>
            </w:r>
          </w:p>
        </w:tc>
        <w:tc>
          <w:tcPr>
            <w:tcW w:w="619" w:type="pct"/>
            <w:shd w:val="clear" w:color="000000" w:fill="95B3D7"/>
            <w:vAlign w:val="center"/>
            <w:hideMark/>
          </w:tcPr>
          <w:p w14:paraId="53FA5F91" w14:textId="0AEB479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157,083</w:t>
            </w:r>
          </w:p>
        </w:tc>
        <w:tc>
          <w:tcPr>
            <w:tcW w:w="618" w:type="pct"/>
            <w:shd w:val="clear" w:color="000000" w:fill="95B3D7"/>
            <w:vAlign w:val="center"/>
            <w:hideMark/>
          </w:tcPr>
          <w:p w14:paraId="4731247A" w14:textId="1D66EDD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5,417</w:t>
            </w:r>
          </w:p>
        </w:tc>
        <w:tc>
          <w:tcPr>
            <w:tcW w:w="618" w:type="pct"/>
            <w:shd w:val="clear" w:color="000000" w:fill="95B3D7"/>
            <w:vAlign w:val="center"/>
            <w:hideMark/>
          </w:tcPr>
          <w:p w14:paraId="43513E40" w14:textId="0352256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297,917</w:t>
            </w:r>
          </w:p>
        </w:tc>
        <w:tc>
          <w:tcPr>
            <w:tcW w:w="619" w:type="pct"/>
            <w:shd w:val="clear" w:color="000000" w:fill="95B3D7"/>
            <w:vAlign w:val="center"/>
            <w:hideMark/>
          </w:tcPr>
          <w:p w14:paraId="1ECE069A" w14:textId="1E1384A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297,917</w:t>
            </w:r>
          </w:p>
        </w:tc>
      </w:tr>
      <w:tr w:rsidR="00D61677" w:rsidRPr="003B7009" w14:paraId="105CF952" w14:textId="77777777" w:rsidTr="00D61677">
        <w:trPr>
          <w:trHeight w:val="20"/>
        </w:trPr>
        <w:tc>
          <w:tcPr>
            <w:tcW w:w="1289" w:type="pct"/>
            <w:shd w:val="clear" w:color="000000" w:fill="95B3D7"/>
            <w:vAlign w:val="center"/>
            <w:hideMark/>
          </w:tcPr>
          <w:p w14:paraId="0D10284E"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1.3 OoM: Legal Advisors</w:t>
            </w:r>
          </w:p>
        </w:tc>
        <w:tc>
          <w:tcPr>
            <w:tcW w:w="618" w:type="pct"/>
            <w:shd w:val="clear" w:color="000000" w:fill="95B3D7"/>
            <w:vAlign w:val="center"/>
            <w:hideMark/>
          </w:tcPr>
          <w:p w14:paraId="3FE6E106" w14:textId="6E477D0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7536EDC" w14:textId="1E3FFE9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383,333</w:t>
            </w:r>
          </w:p>
        </w:tc>
        <w:tc>
          <w:tcPr>
            <w:tcW w:w="619" w:type="pct"/>
            <w:shd w:val="clear" w:color="000000" w:fill="95B3D7"/>
            <w:vAlign w:val="center"/>
            <w:hideMark/>
          </w:tcPr>
          <w:p w14:paraId="76D0B2EE" w14:textId="01C7DC6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444,667</w:t>
            </w:r>
          </w:p>
        </w:tc>
        <w:tc>
          <w:tcPr>
            <w:tcW w:w="618" w:type="pct"/>
            <w:shd w:val="clear" w:color="000000" w:fill="95B3D7"/>
            <w:vAlign w:val="center"/>
            <w:hideMark/>
          </w:tcPr>
          <w:p w14:paraId="3F6D3977" w14:textId="2681352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15,333</w:t>
            </w:r>
          </w:p>
        </w:tc>
        <w:tc>
          <w:tcPr>
            <w:tcW w:w="618" w:type="pct"/>
            <w:shd w:val="clear" w:color="000000" w:fill="95B3D7"/>
            <w:vAlign w:val="center"/>
            <w:hideMark/>
          </w:tcPr>
          <w:p w14:paraId="5C425E60" w14:textId="69E97CF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843,333</w:t>
            </w:r>
          </w:p>
        </w:tc>
        <w:tc>
          <w:tcPr>
            <w:tcW w:w="619" w:type="pct"/>
            <w:shd w:val="clear" w:color="000000" w:fill="95B3D7"/>
            <w:vAlign w:val="center"/>
            <w:hideMark/>
          </w:tcPr>
          <w:p w14:paraId="792B6209" w14:textId="5C46BCA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843,333</w:t>
            </w:r>
          </w:p>
        </w:tc>
      </w:tr>
      <w:tr w:rsidR="00D61677" w:rsidRPr="003B7009" w14:paraId="0C8A57FB" w14:textId="77777777" w:rsidTr="00D61677">
        <w:trPr>
          <w:trHeight w:val="20"/>
        </w:trPr>
        <w:tc>
          <w:tcPr>
            <w:tcW w:w="1289" w:type="pct"/>
            <w:shd w:val="clear" w:color="000000" w:fill="95B3D7"/>
            <w:vAlign w:val="center"/>
            <w:hideMark/>
          </w:tcPr>
          <w:p w14:paraId="59D5709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1.4 OoM: Archive Office</w:t>
            </w:r>
          </w:p>
        </w:tc>
        <w:tc>
          <w:tcPr>
            <w:tcW w:w="618" w:type="pct"/>
            <w:shd w:val="clear" w:color="000000" w:fill="95B3D7"/>
            <w:vAlign w:val="center"/>
            <w:hideMark/>
          </w:tcPr>
          <w:p w14:paraId="6C4E2F38" w14:textId="28FDE3A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0E765EAC" w14:textId="2851C46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58,333</w:t>
            </w:r>
          </w:p>
        </w:tc>
        <w:tc>
          <w:tcPr>
            <w:tcW w:w="619" w:type="pct"/>
            <w:shd w:val="clear" w:color="000000" w:fill="95B3D7"/>
            <w:vAlign w:val="center"/>
            <w:hideMark/>
          </w:tcPr>
          <w:p w14:paraId="6E1AB28A" w14:textId="3950F86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67,667</w:t>
            </w:r>
          </w:p>
        </w:tc>
        <w:tc>
          <w:tcPr>
            <w:tcW w:w="618" w:type="pct"/>
            <w:shd w:val="clear" w:color="000000" w:fill="95B3D7"/>
            <w:vAlign w:val="center"/>
            <w:hideMark/>
          </w:tcPr>
          <w:p w14:paraId="114051F8" w14:textId="74FFA43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2,333</w:t>
            </w:r>
          </w:p>
        </w:tc>
        <w:tc>
          <w:tcPr>
            <w:tcW w:w="618" w:type="pct"/>
            <w:shd w:val="clear" w:color="000000" w:fill="95B3D7"/>
            <w:vAlign w:val="center"/>
            <w:hideMark/>
          </w:tcPr>
          <w:p w14:paraId="6B95580E" w14:textId="2C891AF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128,333</w:t>
            </w:r>
          </w:p>
        </w:tc>
        <w:tc>
          <w:tcPr>
            <w:tcW w:w="619" w:type="pct"/>
            <w:shd w:val="clear" w:color="000000" w:fill="95B3D7"/>
            <w:vAlign w:val="center"/>
            <w:hideMark/>
          </w:tcPr>
          <w:p w14:paraId="5B5FFD6E" w14:textId="6CF058F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128,333</w:t>
            </w:r>
          </w:p>
        </w:tc>
      </w:tr>
      <w:tr w:rsidR="00D61677" w:rsidRPr="003B7009" w14:paraId="182BD76C" w14:textId="77777777" w:rsidTr="00D61677">
        <w:trPr>
          <w:trHeight w:val="20"/>
        </w:trPr>
        <w:tc>
          <w:tcPr>
            <w:tcW w:w="1289" w:type="pct"/>
            <w:shd w:val="clear" w:color="000000" w:fill="95B3D7"/>
            <w:vAlign w:val="center"/>
            <w:hideMark/>
          </w:tcPr>
          <w:p w14:paraId="325DE4B1"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1.5 OoM: Translation Board</w:t>
            </w:r>
          </w:p>
        </w:tc>
        <w:tc>
          <w:tcPr>
            <w:tcW w:w="618" w:type="pct"/>
            <w:shd w:val="clear" w:color="000000" w:fill="95B3D7"/>
            <w:vAlign w:val="center"/>
            <w:hideMark/>
          </w:tcPr>
          <w:p w14:paraId="571B3018" w14:textId="5B920154" w:rsidR="003B7009" w:rsidRPr="003B7009" w:rsidRDefault="003B7009" w:rsidP="00D61677">
            <w:pPr>
              <w:jc w:val="right"/>
              <w:rPr>
                <w:rFonts w:asciiTheme="minorHAnsi" w:hAnsiTheme="minorHAnsi"/>
                <w:sz w:val="16"/>
                <w:szCs w:val="16"/>
              </w:rPr>
            </w:pPr>
          </w:p>
        </w:tc>
        <w:tc>
          <w:tcPr>
            <w:tcW w:w="618" w:type="pct"/>
            <w:shd w:val="clear" w:color="000000" w:fill="95B3D7"/>
            <w:vAlign w:val="center"/>
            <w:hideMark/>
          </w:tcPr>
          <w:p w14:paraId="4910E1BC" w14:textId="2E94BE9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29,167</w:t>
            </w:r>
          </w:p>
        </w:tc>
        <w:tc>
          <w:tcPr>
            <w:tcW w:w="619" w:type="pct"/>
            <w:shd w:val="clear" w:color="000000" w:fill="95B3D7"/>
            <w:vAlign w:val="center"/>
            <w:hideMark/>
          </w:tcPr>
          <w:p w14:paraId="27B0BB0C" w14:textId="19CF80E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33,833</w:t>
            </w:r>
          </w:p>
        </w:tc>
        <w:tc>
          <w:tcPr>
            <w:tcW w:w="618" w:type="pct"/>
            <w:shd w:val="clear" w:color="000000" w:fill="95B3D7"/>
            <w:vAlign w:val="center"/>
            <w:hideMark/>
          </w:tcPr>
          <w:p w14:paraId="4204755B" w14:textId="0E80061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1,167</w:t>
            </w:r>
          </w:p>
        </w:tc>
        <w:tc>
          <w:tcPr>
            <w:tcW w:w="618" w:type="pct"/>
            <w:shd w:val="clear" w:color="000000" w:fill="95B3D7"/>
            <w:vAlign w:val="center"/>
            <w:hideMark/>
          </w:tcPr>
          <w:p w14:paraId="4016EE2A" w14:textId="3D8E660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64,167</w:t>
            </w:r>
          </w:p>
        </w:tc>
        <w:tc>
          <w:tcPr>
            <w:tcW w:w="619" w:type="pct"/>
            <w:shd w:val="clear" w:color="000000" w:fill="95B3D7"/>
            <w:vAlign w:val="center"/>
            <w:hideMark/>
          </w:tcPr>
          <w:p w14:paraId="4ABB8D62" w14:textId="2603AD8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64,167</w:t>
            </w:r>
          </w:p>
        </w:tc>
      </w:tr>
      <w:tr w:rsidR="00D61677" w:rsidRPr="003B7009" w14:paraId="7007EB21" w14:textId="77777777" w:rsidTr="00D61677">
        <w:trPr>
          <w:trHeight w:val="20"/>
        </w:trPr>
        <w:tc>
          <w:tcPr>
            <w:tcW w:w="1289" w:type="pct"/>
            <w:shd w:val="clear" w:color="000000" w:fill="95B3D7"/>
            <w:vAlign w:val="center"/>
            <w:hideMark/>
          </w:tcPr>
          <w:p w14:paraId="64F41682"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1.6 OoM: Protocol Office</w:t>
            </w:r>
          </w:p>
        </w:tc>
        <w:tc>
          <w:tcPr>
            <w:tcW w:w="618" w:type="pct"/>
            <w:shd w:val="clear" w:color="000000" w:fill="95B3D7"/>
            <w:vAlign w:val="center"/>
            <w:hideMark/>
          </w:tcPr>
          <w:p w14:paraId="031075FC" w14:textId="19DE050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98B0895" w14:textId="7C3A63C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35,417</w:t>
            </w:r>
          </w:p>
        </w:tc>
        <w:tc>
          <w:tcPr>
            <w:tcW w:w="619" w:type="pct"/>
            <w:shd w:val="clear" w:color="000000" w:fill="95B3D7"/>
            <w:vAlign w:val="center"/>
            <w:hideMark/>
          </w:tcPr>
          <w:p w14:paraId="55D51346" w14:textId="1F8F347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41,083</w:t>
            </w:r>
          </w:p>
        </w:tc>
        <w:tc>
          <w:tcPr>
            <w:tcW w:w="618" w:type="pct"/>
            <w:shd w:val="clear" w:color="000000" w:fill="95B3D7"/>
            <w:vAlign w:val="center"/>
            <w:hideMark/>
          </w:tcPr>
          <w:p w14:paraId="6A51386C" w14:textId="4FE6048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1,417</w:t>
            </w:r>
          </w:p>
        </w:tc>
        <w:tc>
          <w:tcPr>
            <w:tcW w:w="618" w:type="pct"/>
            <w:shd w:val="clear" w:color="000000" w:fill="95B3D7"/>
            <w:vAlign w:val="center"/>
            <w:hideMark/>
          </w:tcPr>
          <w:p w14:paraId="48EE78D3" w14:textId="21037F7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77,917</w:t>
            </w:r>
          </w:p>
        </w:tc>
        <w:tc>
          <w:tcPr>
            <w:tcW w:w="619" w:type="pct"/>
            <w:shd w:val="clear" w:color="000000" w:fill="95B3D7"/>
            <w:vAlign w:val="center"/>
            <w:hideMark/>
          </w:tcPr>
          <w:p w14:paraId="7F9E1E93" w14:textId="599DC31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77,917</w:t>
            </w:r>
          </w:p>
        </w:tc>
      </w:tr>
      <w:tr w:rsidR="00D61677" w:rsidRPr="003B7009" w14:paraId="2905B87C" w14:textId="77777777" w:rsidTr="00D61677">
        <w:trPr>
          <w:trHeight w:val="20"/>
        </w:trPr>
        <w:tc>
          <w:tcPr>
            <w:tcW w:w="1289" w:type="pct"/>
            <w:shd w:val="clear" w:color="000000" w:fill="95B3D7"/>
            <w:vAlign w:val="center"/>
            <w:hideMark/>
          </w:tcPr>
          <w:p w14:paraId="7AD44965"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1.7 OoM: Non-Allocated Advisor Pool</w:t>
            </w:r>
          </w:p>
        </w:tc>
        <w:tc>
          <w:tcPr>
            <w:tcW w:w="618" w:type="pct"/>
            <w:shd w:val="clear" w:color="000000" w:fill="95B3D7"/>
            <w:vAlign w:val="center"/>
            <w:hideMark/>
          </w:tcPr>
          <w:p w14:paraId="3D10A3FF" w14:textId="700B66C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27054AA" w14:textId="36903A3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75,000</w:t>
            </w:r>
          </w:p>
        </w:tc>
        <w:tc>
          <w:tcPr>
            <w:tcW w:w="619" w:type="pct"/>
            <w:shd w:val="clear" w:color="000000" w:fill="95B3D7"/>
            <w:vAlign w:val="center"/>
            <w:hideMark/>
          </w:tcPr>
          <w:p w14:paraId="6A6CCE3B" w14:textId="3AAA738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87,000</w:t>
            </w:r>
          </w:p>
        </w:tc>
        <w:tc>
          <w:tcPr>
            <w:tcW w:w="618" w:type="pct"/>
            <w:shd w:val="clear" w:color="000000" w:fill="95B3D7"/>
            <w:vAlign w:val="center"/>
            <w:hideMark/>
          </w:tcPr>
          <w:p w14:paraId="6B308A6B" w14:textId="1D77F41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3,000</w:t>
            </w:r>
          </w:p>
        </w:tc>
        <w:tc>
          <w:tcPr>
            <w:tcW w:w="618" w:type="pct"/>
            <w:shd w:val="clear" w:color="000000" w:fill="95B3D7"/>
            <w:vAlign w:val="center"/>
            <w:hideMark/>
          </w:tcPr>
          <w:p w14:paraId="403B14AC" w14:textId="2298E75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c>
          <w:tcPr>
            <w:tcW w:w="619" w:type="pct"/>
            <w:shd w:val="clear" w:color="000000" w:fill="95B3D7"/>
            <w:vAlign w:val="center"/>
            <w:hideMark/>
          </w:tcPr>
          <w:p w14:paraId="3594D03E" w14:textId="07DDF50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r>
      <w:tr w:rsidR="00D61677" w:rsidRPr="003B7009" w14:paraId="3E1A09CB" w14:textId="77777777" w:rsidTr="00D61677">
        <w:trPr>
          <w:trHeight w:val="20"/>
        </w:trPr>
        <w:tc>
          <w:tcPr>
            <w:tcW w:w="1289" w:type="pct"/>
            <w:shd w:val="clear" w:color="000000" w:fill="95B3D7"/>
            <w:vAlign w:val="center"/>
            <w:hideMark/>
          </w:tcPr>
          <w:p w14:paraId="5B833E58"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1.8 OoM: Office of the Chief of Staff</w:t>
            </w:r>
          </w:p>
        </w:tc>
        <w:tc>
          <w:tcPr>
            <w:tcW w:w="618" w:type="pct"/>
            <w:shd w:val="clear" w:color="000000" w:fill="95B3D7"/>
            <w:vAlign w:val="center"/>
            <w:hideMark/>
          </w:tcPr>
          <w:p w14:paraId="54FB92E1" w14:textId="142752C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523EA491" w14:textId="37278C1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500,000</w:t>
            </w:r>
          </w:p>
        </w:tc>
        <w:tc>
          <w:tcPr>
            <w:tcW w:w="619" w:type="pct"/>
            <w:shd w:val="clear" w:color="000000" w:fill="95B3D7"/>
            <w:vAlign w:val="center"/>
            <w:hideMark/>
          </w:tcPr>
          <w:p w14:paraId="483C3EEB" w14:textId="41EAFE0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580,000</w:t>
            </w:r>
          </w:p>
        </w:tc>
        <w:tc>
          <w:tcPr>
            <w:tcW w:w="618" w:type="pct"/>
            <w:shd w:val="clear" w:color="000000" w:fill="95B3D7"/>
            <w:vAlign w:val="center"/>
            <w:hideMark/>
          </w:tcPr>
          <w:p w14:paraId="4A469AF5" w14:textId="15FDCFE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220,000</w:t>
            </w:r>
          </w:p>
        </w:tc>
        <w:tc>
          <w:tcPr>
            <w:tcW w:w="618" w:type="pct"/>
            <w:shd w:val="clear" w:color="000000" w:fill="95B3D7"/>
            <w:vAlign w:val="center"/>
            <w:hideMark/>
          </w:tcPr>
          <w:p w14:paraId="11B37DD3" w14:textId="1BA0941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1,300,000</w:t>
            </w:r>
          </w:p>
        </w:tc>
        <w:tc>
          <w:tcPr>
            <w:tcW w:w="619" w:type="pct"/>
            <w:shd w:val="clear" w:color="000000" w:fill="95B3D7"/>
            <w:vAlign w:val="center"/>
            <w:hideMark/>
          </w:tcPr>
          <w:p w14:paraId="2DEED2CF" w14:textId="53910D3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1,100,000</w:t>
            </w:r>
          </w:p>
        </w:tc>
      </w:tr>
      <w:tr w:rsidR="00D61677" w:rsidRPr="003B7009" w14:paraId="5A46B204" w14:textId="77777777" w:rsidTr="00D61677">
        <w:trPr>
          <w:trHeight w:val="20"/>
        </w:trPr>
        <w:tc>
          <w:tcPr>
            <w:tcW w:w="1289" w:type="pct"/>
            <w:shd w:val="clear" w:color="auto" w:fill="auto"/>
            <w:vAlign w:val="center"/>
            <w:hideMark/>
          </w:tcPr>
          <w:p w14:paraId="07F68C3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186EAB52" w14:textId="7EB58757"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68AF343D" w14:textId="15161EED"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247404FE" w14:textId="0CAD2991"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11F04F48" w14:textId="6A204D61"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4B1E29D0" w14:textId="10A65A0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5F36F44A" w14:textId="58D92A44" w:rsidR="003B7009" w:rsidRPr="003B7009" w:rsidRDefault="003B7009" w:rsidP="00D61677">
            <w:pPr>
              <w:jc w:val="right"/>
              <w:rPr>
                <w:rFonts w:asciiTheme="minorHAnsi" w:hAnsiTheme="minorHAnsi"/>
                <w:sz w:val="16"/>
                <w:szCs w:val="16"/>
              </w:rPr>
            </w:pPr>
          </w:p>
        </w:tc>
      </w:tr>
      <w:tr w:rsidR="00D61677" w:rsidRPr="003B7009" w14:paraId="131E5FBA" w14:textId="77777777" w:rsidTr="00D61677">
        <w:trPr>
          <w:trHeight w:val="20"/>
        </w:trPr>
        <w:tc>
          <w:tcPr>
            <w:tcW w:w="1289" w:type="pct"/>
            <w:shd w:val="clear" w:color="000000" w:fill="4F81BD"/>
            <w:vAlign w:val="center"/>
            <w:hideMark/>
          </w:tcPr>
          <w:p w14:paraId="65283C4F"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2.0 Customs Department</w:t>
            </w:r>
          </w:p>
        </w:tc>
        <w:tc>
          <w:tcPr>
            <w:tcW w:w="618" w:type="pct"/>
            <w:shd w:val="clear" w:color="000000" w:fill="4F81BD"/>
            <w:vAlign w:val="center"/>
            <w:hideMark/>
          </w:tcPr>
          <w:p w14:paraId="539EA260" w14:textId="42ED6C4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07C82A80" w14:textId="796BE6B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1,183,333</w:t>
            </w:r>
          </w:p>
        </w:tc>
        <w:tc>
          <w:tcPr>
            <w:tcW w:w="619" w:type="pct"/>
            <w:shd w:val="clear" w:color="000000" w:fill="4F81BD"/>
            <w:vAlign w:val="center"/>
            <w:hideMark/>
          </w:tcPr>
          <w:p w14:paraId="25131A03" w14:textId="2A6F982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1,372,667</w:t>
            </w:r>
          </w:p>
        </w:tc>
        <w:tc>
          <w:tcPr>
            <w:tcW w:w="618" w:type="pct"/>
            <w:shd w:val="clear" w:color="000000" w:fill="4F81BD"/>
            <w:vAlign w:val="center"/>
            <w:hideMark/>
          </w:tcPr>
          <w:p w14:paraId="68D9B0B1" w14:textId="7020C25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2,047,333</w:t>
            </w:r>
          </w:p>
        </w:tc>
        <w:tc>
          <w:tcPr>
            <w:tcW w:w="618" w:type="pct"/>
            <w:shd w:val="clear" w:color="000000" w:fill="4F81BD"/>
            <w:vAlign w:val="center"/>
            <w:hideMark/>
          </w:tcPr>
          <w:p w14:paraId="025C5AB5" w14:textId="10F5FB8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4,603,333</w:t>
            </w:r>
          </w:p>
        </w:tc>
        <w:tc>
          <w:tcPr>
            <w:tcW w:w="619" w:type="pct"/>
            <w:shd w:val="clear" w:color="000000" w:fill="4F81BD"/>
            <w:vAlign w:val="center"/>
            <w:hideMark/>
          </w:tcPr>
          <w:p w14:paraId="2C109484" w14:textId="350F84A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2,603,333</w:t>
            </w:r>
          </w:p>
        </w:tc>
      </w:tr>
      <w:tr w:rsidR="00D61677" w:rsidRPr="003B7009" w14:paraId="6106BADC" w14:textId="77777777" w:rsidTr="00D61677">
        <w:trPr>
          <w:trHeight w:val="20"/>
        </w:trPr>
        <w:tc>
          <w:tcPr>
            <w:tcW w:w="1289" w:type="pct"/>
            <w:shd w:val="clear" w:color="000000" w:fill="95B3D7"/>
            <w:vAlign w:val="center"/>
            <w:hideMark/>
          </w:tcPr>
          <w:p w14:paraId="0F4B2FE6"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2.1 CD: Customs Support and Development</w:t>
            </w:r>
          </w:p>
        </w:tc>
        <w:tc>
          <w:tcPr>
            <w:tcW w:w="618" w:type="pct"/>
            <w:shd w:val="clear" w:color="000000" w:fill="95B3D7"/>
            <w:vAlign w:val="center"/>
            <w:hideMark/>
          </w:tcPr>
          <w:p w14:paraId="52794F6A" w14:textId="06C41B8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2E86C94" w14:textId="2A189E6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750,000</w:t>
            </w:r>
          </w:p>
        </w:tc>
        <w:tc>
          <w:tcPr>
            <w:tcW w:w="619" w:type="pct"/>
            <w:shd w:val="clear" w:color="000000" w:fill="95B3D7"/>
            <w:vAlign w:val="center"/>
            <w:hideMark/>
          </w:tcPr>
          <w:p w14:paraId="799A1FC9" w14:textId="5A483CB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870,000</w:t>
            </w:r>
          </w:p>
        </w:tc>
        <w:tc>
          <w:tcPr>
            <w:tcW w:w="618" w:type="pct"/>
            <w:shd w:val="clear" w:color="000000" w:fill="95B3D7"/>
            <w:vAlign w:val="center"/>
            <w:hideMark/>
          </w:tcPr>
          <w:p w14:paraId="28C260CD" w14:textId="0E2111D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1,030,000</w:t>
            </w:r>
          </w:p>
        </w:tc>
        <w:tc>
          <w:tcPr>
            <w:tcW w:w="618" w:type="pct"/>
            <w:shd w:val="clear" w:color="000000" w:fill="95B3D7"/>
            <w:vAlign w:val="center"/>
            <w:hideMark/>
          </w:tcPr>
          <w:p w14:paraId="440858D6" w14:textId="20018D4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2,650,000</w:t>
            </w:r>
          </w:p>
        </w:tc>
        <w:tc>
          <w:tcPr>
            <w:tcW w:w="619" w:type="pct"/>
            <w:shd w:val="clear" w:color="000000" w:fill="95B3D7"/>
            <w:vAlign w:val="center"/>
            <w:hideMark/>
          </w:tcPr>
          <w:p w14:paraId="0F44E4B5" w14:textId="6FB4401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1,650,000</w:t>
            </w:r>
          </w:p>
        </w:tc>
      </w:tr>
      <w:tr w:rsidR="00D61677" w:rsidRPr="003B7009" w14:paraId="47E9E790" w14:textId="77777777" w:rsidTr="00D61677">
        <w:trPr>
          <w:trHeight w:val="20"/>
        </w:trPr>
        <w:tc>
          <w:tcPr>
            <w:tcW w:w="1289" w:type="pct"/>
            <w:shd w:val="clear" w:color="000000" w:fill="95B3D7"/>
            <w:vAlign w:val="center"/>
            <w:hideMark/>
          </w:tcPr>
          <w:p w14:paraId="5A3B723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2.2 CD: Law Enforcement</w:t>
            </w:r>
          </w:p>
        </w:tc>
        <w:tc>
          <w:tcPr>
            <w:tcW w:w="618" w:type="pct"/>
            <w:shd w:val="clear" w:color="000000" w:fill="95B3D7"/>
            <w:vAlign w:val="center"/>
            <w:hideMark/>
          </w:tcPr>
          <w:p w14:paraId="3599C88E" w14:textId="48F6069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67AFACE0" w14:textId="5CCF699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200,000</w:t>
            </w:r>
          </w:p>
        </w:tc>
        <w:tc>
          <w:tcPr>
            <w:tcW w:w="619" w:type="pct"/>
            <w:shd w:val="clear" w:color="000000" w:fill="95B3D7"/>
            <w:vAlign w:val="center"/>
            <w:hideMark/>
          </w:tcPr>
          <w:p w14:paraId="5987FD8B" w14:textId="184A1BD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232,000</w:t>
            </w:r>
          </w:p>
        </w:tc>
        <w:tc>
          <w:tcPr>
            <w:tcW w:w="618" w:type="pct"/>
            <w:shd w:val="clear" w:color="000000" w:fill="95B3D7"/>
            <w:vAlign w:val="center"/>
            <w:hideMark/>
          </w:tcPr>
          <w:p w14:paraId="5116941D" w14:textId="190B424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8,000</w:t>
            </w:r>
          </w:p>
        </w:tc>
        <w:tc>
          <w:tcPr>
            <w:tcW w:w="618" w:type="pct"/>
            <w:shd w:val="clear" w:color="000000" w:fill="95B3D7"/>
            <w:vAlign w:val="center"/>
            <w:hideMark/>
          </w:tcPr>
          <w:p w14:paraId="6A3CF579" w14:textId="115766E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440,000</w:t>
            </w:r>
          </w:p>
        </w:tc>
        <w:tc>
          <w:tcPr>
            <w:tcW w:w="619" w:type="pct"/>
            <w:shd w:val="clear" w:color="000000" w:fill="95B3D7"/>
            <w:vAlign w:val="center"/>
            <w:hideMark/>
          </w:tcPr>
          <w:p w14:paraId="3FA21419" w14:textId="5C1A8C2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440,000</w:t>
            </w:r>
          </w:p>
        </w:tc>
      </w:tr>
      <w:tr w:rsidR="00D61677" w:rsidRPr="003B7009" w14:paraId="2F182F73" w14:textId="77777777" w:rsidTr="00D61677">
        <w:trPr>
          <w:trHeight w:val="20"/>
        </w:trPr>
        <w:tc>
          <w:tcPr>
            <w:tcW w:w="1289" w:type="pct"/>
            <w:shd w:val="clear" w:color="000000" w:fill="95B3D7"/>
            <w:vAlign w:val="center"/>
            <w:hideMark/>
          </w:tcPr>
          <w:p w14:paraId="7365490A"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2.3 CD: Customs Technical Affairs</w:t>
            </w:r>
          </w:p>
        </w:tc>
        <w:tc>
          <w:tcPr>
            <w:tcW w:w="618" w:type="pct"/>
            <w:shd w:val="clear" w:color="000000" w:fill="95B3D7"/>
            <w:vAlign w:val="center"/>
            <w:hideMark/>
          </w:tcPr>
          <w:p w14:paraId="0FAFFAA6" w14:textId="5849A89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6D2F6913" w14:textId="2DA34A1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20,833</w:t>
            </w:r>
          </w:p>
        </w:tc>
        <w:tc>
          <w:tcPr>
            <w:tcW w:w="619" w:type="pct"/>
            <w:shd w:val="clear" w:color="000000" w:fill="95B3D7"/>
            <w:vAlign w:val="center"/>
            <w:hideMark/>
          </w:tcPr>
          <w:p w14:paraId="4EDEF5A3" w14:textId="63CC534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24,167</w:t>
            </w:r>
          </w:p>
        </w:tc>
        <w:tc>
          <w:tcPr>
            <w:tcW w:w="618" w:type="pct"/>
            <w:shd w:val="clear" w:color="000000" w:fill="95B3D7"/>
            <w:vAlign w:val="center"/>
            <w:hideMark/>
          </w:tcPr>
          <w:p w14:paraId="5A82523E" w14:textId="1C8BBFF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1,000,833</w:t>
            </w:r>
          </w:p>
        </w:tc>
        <w:tc>
          <w:tcPr>
            <w:tcW w:w="618" w:type="pct"/>
            <w:shd w:val="clear" w:color="000000" w:fill="95B3D7"/>
            <w:vAlign w:val="center"/>
            <w:hideMark/>
          </w:tcPr>
          <w:p w14:paraId="549A012B" w14:textId="6F91CE6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1,045,833</w:t>
            </w:r>
          </w:p>
        </w:tc>
        <w:tc>
          <w:tcPr>
            <w:tcW w:w="619" w:type="pct"/>
            <w:shd w:val="clear" w:color="000000" w:fill="95B3D7"/>
            <w:vAlign w:val="center"/>
            <w:hideMark/>
          </w:tcPr>
          <w:p w14:paraId="332BB6FF" w14:textId="5E94319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45,833</w:t>
            </w:r>
          </w:p>
        </w:tc>
      </w:tr>
      <w:tr w:rsidR="00D61677" w:rsidRPr="003B7009" w14:paraId="1E9E5A44" w14:textId="77777777" w:rsidTr="00D61677">
        <w:trPr>
          <w:trHeight w:val="20"/>
        </w:trPr>
        <w:tc>
          <w:tcPr>
            <w:tcW w:w="1289" w:type="pct"/>
            <w:shd w:val="clear" w:color="000000" w:fill="95B3D7"/>
            <w:vAlign w:val="center"/>
            <w:hideMark/>
          </w:tcPr>
          <w:p w14:paraId="4DE12E4F"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2.4 CD: Operations</w:t>
            </w:r>
          </w:p>
        </w:tc>
        <w:tc>
          <w:tcPr>
            <w:tcW w:w="618" w:type="pct"/>
            <w:shd w:val="clear" w:color="000000" w:fill="95B3D7"/>
            <w:vAlign w:val="center"/>
            <w:hideMark/>
          </w:tcPr>
          <w:p w14:paraId="52BA7D3E" w14:textId="68A9C82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5763869E" w14:textId="0E18E89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112,500</w:t>
            </w:r>
          </w:p>
        </w:tc>
        <w:tc>
          <w:tcPr>
            <w:tcW w:w="619" w:type="pct"/>
            <w:shd w:val="clear" w:color="000000" w:fill="95B3D7"/>
            <w:vAlign w:val="center"/>
            <w:hideMark/>
          </w:tcPr>
          <w:p w14:paraId="20304619" w14:textId="10AE758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130,500</w:t>
            </w:r>
          </w:p>
        </w:tc>
        <w:tc>
          <w:tcPr>
            <w:tcW w:w="618" w:type="pct"/>
            <w:shd w:val="clear" w:color="000000" w:fill="95B3D7"/>
            <w:vAlign w:val="center"/>
            <w:hideMark/>
          </w:tcPr>
          <w:p w14:paraId="76FDF9BB" w14:textId="2B738F6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4,500</w:t>
            </w:r>
          </w:p>
        </w:tc>
        <w:tc>
          <w:tcPr>
            <w:tcW w:w="618" w:type="pct"/>
            <w:shd w:val="clear" w:color="000000" w:fill="95B3D7"/>
            <w:vAlign w:val="center"/>
            <w:hideMark/>
          </w:tcPr>
          <w:p w14:paraId="0862742C" w14:textId="0A4D22F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247,500</w:t>
            </w:r>
          </w:p>
        </w:tc>
        <w:tc>
          <w:tcPr>
            <w:tcW w:w="619" w:type="pct"/>
            <w:shd w:val="clear" w:color="000000" w:fill="95B3D7"/>
            <w:vAlign w:val="center"/>
            <w:hideMark/>
          </w:tcPr>
          <w:p w14:paraId="440F6B90" w14:textId="3A24537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247,500</w:t>
            </w:r>
          </w:p>
        </w:tc>
      </w:tr>
      <w:tr w:rsidR="00D61677" w:rsidRPr="003B7009" w14:paraId="7A631FF1" w14:textId="77777777" w:rsidTr="00D61677">
        <w:trPr>
          <w:trHeight w:val="20"/>
        </w:trPr>
        <w:tc>
          <w:tcPr>
            <w:tcW w:w="1289" w:type="pct"/>
            <w:shd w:val="clear" w:color="000000" w:fill="95B3D7"/>
            <w:vAlign w:val="center"/>
            <w:hideMark/>
          </w:tcPr>
          <w:p w14:paraId="3BF9AC35"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2.5 CD: Internal Audit Unit</w:t>
            </w:r>
          </w:p>
        </w:tc>
        <w:tc>
          <w:tcPr>
            <w:tcW w:w="618" w:type="pct"/>
            <w:shd w:val="clear" w:color="000000" w:fill="95B3D7"/>
            <w:vAlign w:val="center"/>
            <w:hideMark/>
          </w:tcPr>
          <w:p w14:paraId="74504E5C" w14:textId="50E69CE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7DB08D9" w14:textId="7AD8779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100,000</w:t>
            </w:r>
          </w:p>
        </w:tc>
        <w:tc>
          <w:tcPr>
            <w:tcW w:w="619" w:type="pct"/>
            <w:shd w:val="clear" w:color="000000" w:fill="95B3D7"/>
            <w:vAlign w:val="center"/>
            <w:hideMark/>
          </w:tcPr>
          <w:p w14:paraId="38EF3630" w14:textId="65DC53B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116,000</w:t>
            </w:r>
          </w:p>
        </w:tc>
        <w:tc>
          <w:tcPr>
            <w:tcW w:w="618" w:type="pct"/>
            <w:shd w:val="clear" w:color="000000" w:fill="95B3D7"/>
            <w:vAlign w:val="center"/>
            <w:hideMark/>
          </w:tcPr>
          <w:p w14:paraId="4BFEA29C" w14:textId="3920BED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4,000</w:t>
            </w:r>
          </w:p>
        </w:tc>
        <w:tc>
          <w:tcPr>
            <w:tcW w:w="618" w:type="pct"/>
            <w:shd w:val="clear" w:color="000000" w:fill="95B3D7"/>
            <w:vAlign w:val="center"/>
            <w:hideMark/>
          </w:tcPr>
          <w:p w14:paraId="02B105FB" w14:textId="284E330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220,000</w:t>
            </w:r>
          </w:p>
        </w:tc>
        <w:tc>
          <w:tcPr>
            <w:tcW w:w="619" w:type="pct"/>
            <w:shd w:val="clear" w:color="000000" w:fill="95B3D7"/>
            <w:vAlign w:val="center"/>
            <w:hideMark/>
          </w:tcPr>
          <w:p w14:paraId="5C3F1059" w14:textId="54DCD06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220,000</w:t>
            </w:r>
          </w:p>
        </w:tc>
      </w:tr>
      <w:tr w:rsidR="00D61677" w:rsidRPr="003B7009" w14:paraId="1C0F7405" w14:textId="77777777" w:rsidTr="00D61677">
        <w:trPr>
          <w:trHeight w:val="20"/>
        </w:trPr>
        <w:tc>
          <w:tcPr>
            <w:tcW w:w="1289" w:type="pct"/>
            <w:shd w:val="clear" w:color="auto" w:fill="auto"/>
            <w:vAlign w:val="center"/>
            <w:hideMark/>
          </w:tcPr>
          <w:p w14:paraId="47CD49D3"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2996056F" w14:textId="3634921B"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7B5B4EBC" w14:textId="19D5EB9B"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78E87336" w14:textId="3EBC4BF6"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0898D4A2" w14:textId="58BAEE1D"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6A22019F" w14:textId="7DC433D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35A52880" w14:textId="6B0666FF" w:rsidR="003B7009" w:rsidRPr="003B7009" w:rsidRDefault="003B7009" w:rsidP="00D61677">
            <w:pPr>
              <w:jc w:val="right"/>
              <w:rPr>
                <w:rFonts w:asciiTheme="minorHAnsi" w:hAnsiTheme="minorHAnsi"/>
                <w:sz w:val="16"/>
                <w:szCs w:val="16"/>
              </w:rPr>
            </w:pPr>
          </w:p>
        </w:tc>
      </w:tr>
      <w:tr w:rsidR="00D61677" w:rsidRPr="003B7009" w14:paraId="00F3524D" w14:textId="77777777" w:rsidTr="00D61677">
        <w:trPr>
          <w:trHeight w:val="20"/>
        </w:trPr>
        <w:tc>
          <w:tcPr>
            <w:tcW w:w="1289" w:type="pct"/>
            <w:shd w:val="clear" w:color="000000" w:fill="4F81BD"/>
            <w:vAlign w:val="center"/>
            <w:hideMark/>
          </w:tcPr>
          <w:p w14:paraId="17E29C2A"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3.0 Revenues Department </w:t>
            </w:r>
          </w:p>
        </w:tc>
        <w:tc>
          <w:tcPr>
            <w:tcW w:w="618" w:type="pct"/>
            <w:shd w:val="clear" w:color="000000" w:fill="4F81BD"/>
            <w:vAlign w:val="center"/>
            <w:hideMark/>
          </w:tcPr>
          <w:p w14:paraId="6B8DC182" w14:textId="3B2B378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384598A8" w14:textId="62F4667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2,006,250</w:t>
            </w:r>
          </w:p>
        </w:tc>
        <w:tc>
          <w:tcPr>
            <w:tcW w:w="619" w:type="pct"/>
            <w:shd w:val="clear" w:color="000000" w:fill="4F81BD"/>
            <w:vAlign w:val="center"/>
            <w:hideMark/>
          </w:tcPr>
          <w:p w14:paraId="60FE2565" w14:textId="4673F85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2,327,250</w:t>
            </w:r>
          </w:p>
        </w:tc>
        <w:tc>
          <w:tcPr>
            <w:tcW w:w="618" w:type="pct"/>
            <w:shd w:val="clear" w:color="000000" w:fill="4F81BD"/>
            <w:vAlign w:val="center"/>
            <w:hideMark/>
          </w:tcPr>
          <w:p w14:paraId="10ED6EA8" w14:textId="37D55DC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1,080,250</w:t>
            </w:r>
          </w:p>
        </w:tc>
        <w:tc>
          <w:tcPr>
            <w:tcW w:w="618" w:type="pct"/>
            <w:shd w:val="clear" w:color="000000" w:fill="4F81BD"/>
            <w:vAlign w:val="center"/>
            <w:hideMark/>
          </w:tcPr>
          <w:p w14:paraId="7FBAEA22" w14:textId="541D43C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5,413,750</w:t>
            </w:r>
          </w:p>
        </w:tc>
        <w:tc>
          <w:tcPr>
            <w:tcW w:w="619" w:type="pct"/>
            <w:shd w:val="clear" w:color="000000" w:fill="4F81BD"/>
            <w:vAlign w:val="center"/>
            <w:hideMark/>
          </w:tcPr>
          <w:p w14:paraId="40B52904" w14:textId="170E43B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4,413,750</w:t>
            </w:r>
          </w:p>
        </w:tc>
      </w:tr>
      <w:tr w:rsidR="00D61677" w:rsidRPr="003B7009" w14:paraId="2E971579" w14:textId="77777777" w:rsidTr="00D61677">
        <w:trPr>
          <w:trHeight w:val="20"/>
        </w:trPr>
        <w:tc>
          <w:tcPr>
            <w:tcW w:w="1289" w:type="pct"/>
            <w:shd w:val="clear" w:color="000000" w:fill="95B3D7"/>
            <w:vAlign w:val="center"/>
            <w:hideMark/>
          </w:tcPr>
          <w:p w14:paraId="11A91144"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3.1 RD: Office of the DG (Revenue)</w:t>
            </w:r>
          </w:p>
        </w:tc>
        <w:tc>
          <w:tcPr>
            <w:tcW w:w="618" w:type="pct"/>
            <w:shd w:val="clear" w:color="000000" w:fill="95B3D7"/>
            <w:vAlign w:val="center"/>
            <w:hideMark/>
          </w:tcPr>
          <w:p w14:paraId="1E082783" w14:textId="20466CE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39E08859" w14:textId="15BA05E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262,500</w:t>
            </w:r>
          </w:p>
        </w:tc>
        <w:tc>
          <w:tcPr>
            <w:tcW w:w="619" w:type="pct"/>
            <w:shd w:val="clear" w:color="000000" w:fill="95B3D7"/>
            <w:vAlign w:val="center"/>
            <w:hideMark/>
          </w:tcPr>
          <w:p w14:paraId="75DB7F8E" w14:textId="71BF0D4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304,500</w:t>
            </w:r>
          </w:p>
        </w:tc>
        <w:tc>
          <w:tcPr>
            <w:tcW w:w="618" w:type="pct"/>
            <w:shd w:val="clear" w:color="000000" w:fill="95B3D7"/>
            <w:vAlign w:val="center"/>
            <w:hideMark/>
          </w:tcPr>
          <w:p w14:paraId="00B95C2E" w14:textId="79C9D64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10,500</w:t>
            </w:r>
          </w:p>
        </w:tc>
        <w:tc>
          <w:tcPr>
            <w:tcW w:w="618" w:type="pct"/>
            <w:shd w:val="clear" w:color="000000" w:fill="95B3D7"/>
            <w:vAlign w:val="center"/>
            <w:hideMark/>
          </w:tcPr>
          <w:p w14:paraId="62121245" w14:textId="20FAFFF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577,500</w:t>
            </w:r>
          </w:p>
        </w:tc>
        <w:tc>
          <w:tcPr>
            <w:tcW w:w="619" w:type="pct"/>
            <w:shd w:val="clear" w:color="000000" w:fill="95B3D7"/>
            <w:vAlign w:val="center"/>
            <w:hideMark/>
          </w:tcPr>
          <w:p w14:paraId="6A53DECC" w14:textId="1B67C4C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577,500</w:t>
            </w:r>
          </w:p>
        </w:tc>
      </w:tr>
      <w:tr w:rsidR="00D61677" w:rsidRPr="003B7009" w14:paraId="55BB46BF" w14:textId="77777777" w:rsidTr="00D61677">
        <w:trPr>
          <w:trHeight w:val="20"/>
        </w:trPr>
        <w:tc>
          <w:tcPr>
            <w:tcW w:w="1289" w:type="pct"/>
            <w:shd w:val="clear" w:color="000000" w:fill="95B3D7"/>
            <w:vAlign w:val="center"/>
            <w:hideMark/>
          </w:tcPr>
          <w:p w14:paraId="751F82DE"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3.2 RD: Large Taxpayers Office</w:t>
            </w:r>
          </w:p>
        </w:tc>
        <w:tc>
          <w:tcPr>
            <w:tcW w:w="618" w:type="pct"/>
            <w:shd w:val="clear" w:color="000000" w:fill="95B3D7"/>
            <w:vAlign w:val="center"/>
            <w:hideMark/>
          </w:tcPr>
          <w:p w14:paraId="54EC7C87" w14:textId="33CD3E4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0F7226E1" w14:textId="73BF4B4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337,500</w:t>
            </w:r>
          </w:p>
        </w:tc>
        <w:tc>
          <w:tcPr>
            <w:tcW w:w="619" w:type="pct"/>
            <w:shd w:val="clear" w:color="000000" w:fill="95B3D7"/>
            <w:vAlign w:val="center"/>
            <w:hideMark/>
          </w:tcPr>
          <w:p w14:paraId="294A456E" w14:textId="38E55BD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391,500</w:t>
            </w:r>
          </w:p>
        </w:tc>
        <w:tc>
          <w:tcPr>
            <w:tcW w:w="618" w:type="pct"/>
            <w:shd w:val="clear" w:color="000000" w:fill="95B3D7"/>
            <w:vAlign w:val="center"/>
            <w:hideMark/>
          </w:tcPr>
          <w:p w14:paraId="21564F93" w14:textId="7603DBF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13,500</w:t>
            </w:r>
          </w:p>
        </w:tc>
        <w:tc>
          <w:tcPr>
            <w:tcW w:w="618" w:type="pct"/>
            <w:shd w:val="clear" w:color="000000" w:fill="95B3D7"/>
            <w:vAlign w:val="center"/>
            <w:hideMark/>
          </w:tcPr>
          <w:p w14:paraId="0737803D" w14:textId="3F777AE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742,500</w:t>
            </w:r>
          </w:p>
        </w:tc>
        <w:tc>
          <w:tcPr>
            <w:tcW w:w="619" w:type="pct"/>
            <w:shd w:val="clear" w:color="000000" w:fill="95B3D7"/>
            <w:vAlign w:val="center"/>
            <w:hideMark/>
          </w:tcPr>
          <w:p w14:paraId="773F62B9" w14:textId="7142E94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742,500</w:t>
            </w:r>
          </w:p>
        </w:tc>
      </w:tr>
      <w:tr w:rsidR="00D61677" w:rsidRPr="003B7009" w14:paraId="25284EFE" w14:textId="77777777" w:rsidTr="00D61677">
        <w:trPr>
          <w:trHeight w:val="20"/>
        </w:trPr>
        <w:tc>
          <w:tcPr>
            <w:tcW w:w="1289" w:type="pct"/>
            <w:shd w:val="clear" w:color="000000" w:fill="95B3D7"/>
            <w:vAlign w:val="center"/>
            <w:hideMark/>
          </w:tcPr>
          <w:p w14:paraId="0C95EAD3"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3.3 RD: Medium Taxpayers Office</w:t>
            </w:r>
          </w:p>
        </w:tc>
        <w:tc>
          <w:tcPr>
            <w:tcW w:w="618" w:type="pct"/>
            <w:shd w:val="clear" w:color="000000" w:fill="95B3D7"/>
            <w:vAlign w:val="center"/>
            <w:hideMark/>
          </w:tcPr>
          <w:p w14:paraId="6E5E6788" w14:textId="02E9B52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36B6C62A" w14:textId="363C9C6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287,500</w:t>
            </w:r>
          </w:p>
        </w:tc>
        <w:tc>
          <w:tcPr>
            <w:tcW w:w="619" w:type="pct"/>
            <w:shd w:val="clear" w:color="000000" w:fill="95B3D7"/>
            <w:vAlign w:val="center"/>
            <w:hideMark/>
          </w:tcPr>
          <w:p w14:paraId="1CDD198B" w14:textId="492C88D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333,500</w:t>
            </w:r>
          </w:p>
        </w:tc>
        <w:tc>
          <w:tcPr>
            <w:tcW w:w="618" w:type="pct"/>
            <w:shd w:val="clear" w:color="000000" w:fill="95B3D7"/>
            <w:vAlign w:val="center"/>
            <w:hideMark/>
          </w:tcPr>
          <w:p w14:paraId="6929ACA1" w14:textId="2B1504F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11,500</w:t>
            </w:r>
          </w:p>
        </w:tc>
        <w:tc>
          <w:tcPr>
            <w:tcW w:w="618" w:type="pct"/>
            <w:shd w:val="clear" w:color="000000" w:fill="95B3D7"/>
            <w:vAlign w:val="center"/>
            <w:hideMark/>
          </w:tcPr>
          <w:p w14:paraId="7ED09319" w14:textId="6A9D359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632,500</w:t>
            </w:r>
          </w:p>
        </w:tc>
        <w:tc>
          <w:tcPr>
            <w:tcW w:w="619" w:type="pct"/>
            <w:shd w:val="clear" w:color="000000" w:fill="95B3D7"/>
            <w:vAlign w:val="center"/>
            <w:hideMark/>
          </w:tcPr>
          <w:p w14:paraId="22A81487" w14:textId="2F201C3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632,500</w:t>
            </w:r>
          </w:p>
        </w:tc>
      </w:tr>
      <w:tr w:rsidR="00D61677" w:rsidRPr="003B7009" w14:paraId="0C14DD3F" w14:textId="77777777" w:rsidTr="00D61677">
        <w:trPr>
          <w:trHeight w:val="20"/>
        </w:trPr>
        <w:tc>
          <w:tcPr>
            <w:tcW w:w="1289" w:type="pct"/>
            <w:shd w:val="clear" w:color="000000" w:fill="95B3D7"/>
            <w:vAlign w:val="center"/>
            <w:hideMark/>
          </w:tcPr>
          <w:p w14:paraId="166B38D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3.4 RD: Small Taxpayers Office</w:t>
            </w:r>
          </w:p>
        </w:tc>
        <w:tc>
          <w:tcPr>
            <w:tcW w:w="618" w:type="pct"/>
            <w:shd w:val="clear" w:color="000000" w:fill="95B3D7"/>
            <w:vAlign w:val="center"/>
            <w:hideMark/>
          </w:tcPr>
          <w:p w14:paraId="2A7096C1" w14:textId="7FABF40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3C542D40" w14:textId="3F0AECE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287,500</w:t>
            </w:r>
          </w:p>
        </w:tc>
        <w:tc>
          <w:tcPr>
            <w:tcW w:w="619" w:type="pct"/>
            <w:shd w:val="clear" w:color="000000" w:fill="95B3D7"/>
            <w:vAlign w:val="center"/>
            <w:hideMark/>
          </w:tcPr>
          <w:p w14:paraId="0458C081" w14:textId="127EB94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333,500</w:t>
            </w:r>
          </w:p>
        </w:tc>
        <w:tc>
          <w:tcPr>
            <w:tcW w:w="618" w:type="pct"/>
            <w:shd w:val="clear" w:color="000000" w:fill="95B3D7"/>
            <w:vAlign w:val="center"/>
            <w:hideMark/>
          </w:tcPr>
          <w:p w14:paraId="5BDDB694" w14:textId="77551C9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11,500</w:t>
            </w:r>
          </w:p>
        </w:tc>
        <w:tc>
          <w:tcPr>
            <w:tcW w:w="618" w:type="pct"/>
            <w:shd w:val="clear" w:color="000000" w:fill="95B3D7"/>
            <w:vAlign w:val="center"/>
            <w:hideMark/>
          </w:tcPr>
          <w:p w14:paraId="63B241ED" w14:textId="638BE58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632,500</w:t>
            </w:r>
          </w:p>
        </w:tc>
        <w:tc>
          <w:tcPr>
            <w:tcW w:w="619" w:type="pct"/>
            <w:shd w:val="clear" w:color="000000" w:fill="95B3D7"/>
            <w:vAlign w:val="center"/>
            <w:hideMark/>
          </w:tcPr>
          <w:p w14:paraId="48980C18" w14:textId="64CA47E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632,500</w:t>
            </w:r>
          </w:p>
        </w:tc>
      </w:tr>
      <w:tr w:rsidR="00D61677" w:rsidRPr="003B7009" w14:paraId="39CFF863" w14:textId="77777777" w:rsidTr="00D61677">
        <w:trPr>
          <w:trHeight w:val="20"/>
        </w:trPr>
        <w:tc>
          <w:tcPr>
            <w:tcW w:w="1289" w:type="pct"/>
            <w:shd w:val="clear" w:color="000000" w:fill="95B3D7"/>
            <w:vAlign w:val="center"/>
            <w:hideMark/>
          </w:tcPr>
          <w:p w14:paraId="17787C47"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3.5 RD: Appeals</w:t>
            </w:r>
          </w:p>
        </w:tc>
        <w:tc>
          <w:tcPr>
            <w:tcW w:w="618" w:type="pct"/>
            <w:shd w:val="clear" w:color="000000" w:fill="95B3D7"/>
            <w:vAlign w:val="center"/>
            <w:hideMark/>
          </w:tcPr>
          <w:p w14:paraId="044460BA" w14:textId="2244715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E3F6423" w14:textId="03E5DF5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125,000</w:t>
            </w:r>
          </w:p>
        </w:tc>
        <w:tc>
          <w:tcPr>
            <w:tcW w:w="619" w:type="pct"/>
            <w:shd w:val="clear" w:color="000000" w:fill="95B3D7"/>
            <w:vAlign w:val="center"/>
            <w:hideMark/>
          </w:tcPr>
          <w:p w14:paraId="70F15EC4" w14:textId="13A00D5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145,000</w:t>
            </w:r>
          </w:p>
        </w:tc>
        <w:tc>
          <w:tcPr>
            <w:tcW w:w="618" w:type="pct"/>
            <w:shd w:val="clear" w:color="000000" w:fill="95B3D7"/>
            <w:vAlign w:val="center"/>
            <w:hideMark/>
          </w:tcPr>
          <w:p w14:paraId="76CD6D0D" w14:textId="1848B67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w:t>
            </w:r>
          </w:p>
        </w:tc>
        <w:tc>
          <w:tcPr>
            <w:tcW w:w="618" w:type="pct"/>
            <w:shd w:val="clear" w:color="000000" w:fill="95B3D7"/>
            <w:vAlign w:val="center"/>
            <w:hideMark/>
          </w:tcPr>
          <w:p w14:paraId="41DD82A2" w14:textId="15EE4E6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275,000</w:t>
            </w:r>
          </w:p>
        </w:tc>
        <w:tc>
          <w:tcPr>
            <w:tcW w:w="619" w:type="pct"/>
            <w:shd w:val="clear" w:color="000000" w:fill="95B3D7"/>
            <w:vAlign w:val="center"/>
            <w:hideMark/>
          </w:tcPr>
          <w:p w14:paraId="69E964E1" w14:textId="6895DE2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275,000</w:t>
            </w:r>
          </w:p>
        </w:tc>
      </w:tr>
      <w:tr w:rsidR="00D61677" w:rsidRPr="003B7009" w14:paraId="478C8402" w14:textId="77777777" w:rsidTr="00D61677">
        <w:trPr>
          <w:trHeight w:val="20"/>
        </w:trPr>
        <w:tc>
          <w:tcPr>
            <w:tcW w:w="1289" w:type="pct"/>
            <w:shd w:val="clear" w:color="000000" w:fill="95B3D7"/>
            <w:vAlign w:val="center"/>
            <w:hideMark/>
          </w:tcPr>
          <w:p w14:paraId="7A78AFF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3.6 RD: Legal</w:t>
            </w:r>
          </w:p>
        </w:tc>
        <w:tc>
          <w:tcPr>
            <w:tcW w:w="618" w:type="pct"/>
            <w:shd w:val="clear" w:color="000000" w:fill="95B3D7"/>
            <w:vAlign w:val="center"/>
            <w:hideMark/>
          </w:tcPr>
          <w:p w14:paraId="0303E4A3" w14:textId="5348130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766FA63" w14:textId="2AB77BD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125,000</w:t>
            </w:r>
          </w:p>
        </w:tc>
        <w:tc>
          <w:tcPr>
            <w:tcW w:w="619" w:type="pct"/>
            <w:shd w:val="clear" w:color="000000" w:fill="95B3D7"/>
            <w:vAlign w:val="center"/>
            <w:hideMark/>
          </w:tcPr>
          <w:p w14:paraId="54A07225" w14:textId="7EA5585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145,000</w:t>
            </w:r>
          </w:p>
        </w:tc>
        <w:tc>
          <w:tcPr>
            <w:tcW w:w="618" w:type="pct"/>
            <w:shd w:val="clear" w:color="000000" w:fill="95B3D7"/>
            <w:vAlign w:val="center"/>
            <w:hideMark/>
          </w:tcPr>
          <w:p w14:paraId="2A47DF8B" w14:textId="74766CC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w:t>
            </w:r>
          </w:p>
        </w:tc>
        <w:tc>
          <w:tcPr>
            <w:tcW w:w="618" w:type="pct"/>
            <w:shd w:val="clear" w:color="000000" w:fill="95B3D7"/>
            <w:vAlign w:val="center"/>
            <w:hideMark/>
          </w:tcPr>
          <w:p w14:paraId="225792C4" w14:textId="0310209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275,000</w:t>
            </w:r>
          </w:p>
        </w:tc>
        <w:tc>
          <w:tcPr>
            <w:tcW w:w="619" w:type="pct"/>
            <w:shd w:val="clear" w:color="000000" w:fill="95B3D7"/>
            <w:vAlign w:val="center"/>
            <w:hideMark/>
          </w:tcPr>
          <w:p w14:paraId="14A636AF" w14:textId="0C7DB05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275,000</w:t>
            </w:r>
          </w:p>
        </w:tc>
      </w:tr>
      <w:tr w:rsidR="00D61677" w:rsidRPr="003B7009" w14:paraId="43901183" w14:textId="77777777" w:rsidTr="00D61677">
        <w:trPr>
          <w:trHeight w:val="20"/>
        </w:trPr>
        <w:tc>
          <w:tcPr>
            <w:tcW w:w="1289" w:type="pct"/>
            <w:shd w:val="clear" w:color="000000" w:fill="95B3D7"/>
            <w:vAlign w:val="center"/>
            <w:hideMark/>
          </w:tcPr>
          <w:p w14:paraId="74B10F8C"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3.7 RD: Non-Tax Revenue</w:t>
            </w:r>
          </w:p>
        </w:tc>
        <w:tc>
          <w:tcPr>
            <w:tcW w:w="618" w:type="pct"/>
            <w:shd w:val="clear" w:color="000000" w:fill="95B3D7"/>
            <w:vAlign w:val="center"/>
            <w:hideMark/>
          </w:tcPr>
          <w:p w14:paraId="47AE715C" w14:textId="2A07330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0A3FA7DF" w14:textId="19FCC1E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225,000</w:t>
            </w:r>
          </w:p>
        </w:tc>
        <w:tc>
          <w:tcPr>
            <w:tcW w:w="619" w:type="pct"/>
            <w:shd w:val="clear" w:color="000000" w:fill="95B3D7"/>
            <w:vAlign w:val="center"/>
            <w:hideMark/>
          </w:tcPr>
          <w:p w14:paraId="4717DA7F" w14:textId="5DC9357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261,000</w:t>
            </w:r>
          </w:p>
        </w:tc>
        <w:tc>
          <w:tcPr>
            <w:tcW w:w="618" w:type="pct"/>
            <w:shd w:val="clear" w:color="000000" w:fill="95B3D7"/>
            <w:vAlign w:val="center"/>
            <w:hideMark/>
          </w:tcPr>
          <w:p w14:paraId="792614B9" w14:textId="6DC9BAB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9,000</w:t>
            </w:r>
          </w:p>
        </w:tc>
        <w:tc>
          <w:tcPr>
            <w:tcW w:w="618" w:type="pct"/>
            <w:shd w:val="clear" w:color="000000" w:fill="95B3D7"/>
            <w:vAlign w:val="center"/>
            <w:hideMark/>
          </w:tcPr>
          <w:p w14:paraId="44F5EE33" w14:textId="01D3FD1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495,000</w:t>
            </w:r>
          </w:p>
        </w:tc>
        <w:tc>
          <w:tcPr>
            <w:tcW w:w="619" w:type="pct"/>
            <w:shd w:val="clear" w:color="000000" w:fill="95B3D7"/>
            <w:vAlign w:val="center"/>
            <w:hideMark/>
          </w:tcPr>
          <w:p w14:paraId="29BFF112" w14:textId="4821979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495,000</w:t>
            </w:r>
          </w:p>
        </w:tc>
      </w:tr>
      <w:tr w:rsidR="00D61677" w:rsidRPr="003B7009" w14:paraId="02FC9B6C" w14:textId="77777777" w:rsidTr="00D61677">
        <w:trPr>
          <w:trHeight w:val="20"/>
        </w:trPr>
        <w:tc>
          <w:tcPr>
            <w:tcW w:w="1289" w:type="pct"/>
            <w:shd w:val="clear" w:color="000000" w:fill="95B3D7"/>
            <w:vAlign w:val="center"/>
            <w:hideMark/>
          </w:tcPr>
          <w:p w14:paraId="08FC9D7E"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3.8 RD: Technical and Provincial Liaison</w:t>
            </w:r>
          </w:p>
        </w:tc>
        <w:tc>
          <w:tcPr>
            <w:tcW w:w="618" w:type="pct"/>
            <w:shd w:val="clear" w:color="000000" w:fill="95B3D7"/>
            <w:vAlign w:val="center"/>
            <w:hideMark/>
          </w:tcPr>
          <w:p w14:paraId="5E32A883" w14:textId="1D82AB5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58779D34" w14:textId="66CCEFA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168,750</w:t>
            </w:r>
          </w:p>
        </w:tc>
        <w:tc>
          <w:tcPr>
            <w:tcW w:w="619" w:type="pct"/>
            <w:shd w:val="clear" w:color="000000" w:fill="95B3D7"/>
            <w:vAlign w:val="center"/>
            <w:hideMark/>
          </w:tcPr>
          <w:p w14:paraId="7FD6B824" w14:textId="68B1C80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195,750</w:t>
            </w:r>
          </w:p>
        </w:tc>
        <w:tc>
          <w:tcPr>
            <w:tcW w:w="618" w:type="pct"/>
            <w:shd w:val="clear" w:color="000000" w:fill="95B3D7"/>
            <w:vAlign w:val="center"/>
            <w:hideMark/>
          </w:tcPr>
          <w:p w14:paraId="6B633EA0" w14:textId="76175B9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6,750</w:t>
            </w:r>
          </w:p>
        </w:tc>
        <w:tc>
          <w:tcPr>
            <w:tcW w:w="618" w:type="pct"/>
            <w:shd w:val="clear" w:color="000000" w:fill="95B3D7"/>
            <w:vAlign w:val="center"/>
            <w:hideMark/>
          </w:tcPr>
          <w:p w14:paraId="59668293" w14:textId="0D3A206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371,250</w:t>
            </w:r>
          </w:p>
        </w:tc>
        <w:tc>
          <w:tcPr>
            <w:tcW w:w="619" w:type="pct"/>
            <w:shd w:val="clear" w:color="000000" w:fill="95B3D7"/>
            <w:vAlign w:val="center"/>
            <w:hideMark/>
          </w:tcPr>
          <w:p w14:paraId="4CAC2462" w14:textId="7C19EE7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371,250</w:t>
            </w:r>
          </w:p>
        </w:tc>
      </w:tr>
      <w:tr w:rsidR="00D61677" w:rsidRPr="003B7009" w14:paraId="26A1C899" w14:textId="77777777" w:rsidTr="00D61677">
        <w:trPr>
          <w:trHeight w:val="20"/>
        </w:trPr>
        <w:tc>
          <w:tcPr>
            <w:tcW w:w="1289" w:type="pct"/>
            <w:shd w:val="clear" w:color="000000" w:fill="95B3D7"/>
            <w:vAlign w:val="center"/>
            <w:hideMark/>
          </w:tcPr>
          <w:p w14:paraId="2FE32D37"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3.9 RD: Revenue Services and Support</w:t>
            </w:r>
          </w:p>
        </w:tc>
        <w:tc>
          <w:tcPr>
            <w:tcW w:w="618" w:type="pct"/>
            <w:shd w:val="clear" w:color="000000" w:fill="95B3D7"/>
            <w:vAlign w:val="center"/>
            <w:hideMark/>
          </w:tcPr>
          <w:p w14:paraId="394A6C8D" w14:textId="1B383F9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77333855" w14:textId="65735D5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187,500</w:t>
            </w:r>
          </w:p>
        </w:tc>
        <w:tc>
          <w:tcPr>
            <w:tcW w:w="619" w:type="pct"/>
            <w:shd w:val="clear" w:color="000000" w:fill="95B3D7"/>
            <w:vAlign w:val="center"/>
            <w:hideMark/>
          </w:tcPr>
          <w:p w14:paraId="0305104A" w14:textId="58EE133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217,500</w:t>
            </w:r>
          </w:p>
        </w:tc>
        <w:tc>
          <w:tcPr>
            <w:tcW w:w="618" w:type="pct"/>
            <w:shd w:val="clear" w:color="000000" w:fill="95B3D7"/>
            <w:vAlign w:val="center"/>
            <w:hideMark/>
          </w:tcPr>
          <w:p w14:paraId="744EA0A6" w14:textId="5D1F56E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1,007,500</w:t>
            </w:r>
          </w:p>
        </w:tc>
        <w:tc>
          <w:tcPr>
            <w:tcW w:w="618" w:type="pct"/>
            <w:shd w:val="clear" w:color="000000" w:fill="95B3D7"/>
            <w:vAlign w:val="center"/>
            <w:hideMark/>
          </w:tcPr>
          <w:p w14:paraId="0776023D" w14:textId="6A06507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1,412,500</w:t>
            </w:r>
          </w:p>
        </w:tc>
        <w:tc>
          <w:tcPr>
            <w:tcW w:w="619" w:type="pct"/>
            <w:shd w:val="clear" w:color="000000" w:fill="95B3D7"/>
            <w:vAlign w:val="center"/>
            <w:hideMark/>
          </w:tcPr>
          <w:p w14:paraId="55408100" w14:textId="642F6CD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412,500</w:t>
            </w:r>
          </w:p>
        </w:tc>
      </w:tr>
      <w:tr w:rsidR="00D61677" w:rsidRPr="003B7009" w14:paraId="53C3E7B9" w14:textId="77777777" w:rsidTr="00D61677">
        <w:trPr>
          <w:trHeight w:val="20"/>
        </w:trPr>
        <w:tc>
          <w:tcPr>
            <w:tcW w:w="1289" w:type="pct"/>
            <w:shd w:val="clear" w:color="auto" w:fill="auto"/>
            <w:vAlign w:val="center"/>
            <w:hideMark/>
          </w:tcPr>
          <w:p w14:paraId="27996921"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4362DEC5" w14:textId="0A6E4B72"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430905DB" w14:textId="44510CC3"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4C3277AD" w14:textId="74635F17"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47260EE0" w14:textId="2343F5C9"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1A1577DA" w14:textId="4ED0AC7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44A39CD1" w14:textId="36763238" w:rsidR="003B7009" w:rsidRPr="003B7009" w:rsidRDefault="003B7009" w:rsidP="00D61677">
            <w:pPr>
              <w:jc w:val="right"/>
              <w:rPr>
                <w:rFonts w:asciiTheme="minorHAnsi" w:hAnsiTheme="minorHAnsi"/>
                <w:sz w:val="16"/>
                <w:szCs w:val="16"/>
              </w:rPr>
            </w:pPr>
          </w:p>
        </w:tc>
      </w:tr>
      <w:tr w:rsidR="00D61677" w:rsidRPr="003B7009" w14:paraId="5EB209A0" w14:textId="77777777" w:rsidTr="00D61677">
        <w:trPr>
          <w:trHeight w:val="20"/>
        </w:trPr>
        <w:tc>
          <w:tcPr>
            <w:tcW w:w="1289" w:type="pct"/>
            <w:shd w:val="clear" w:color="000000" w:fill="4F81BD"/>
            <w:vAlign w:val="center"/>
            <w:hideMark/>
          </w:tcPr>
          <w:p w14:paraId="1D9D9055"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4.0 Treasury Department</w:t>
            </w:r>
          </w:p>
        </w:tc>
        <w:tc>
          <w:tcPr>
            <w:tcW w:w="618" w:type="pct"/>
            <w:shd w:val="clear" w:color="000000" w:fill="4F81BD"/>
            <w:vAlign w:val="center"/>
            <w:hideMark/>
          </w:tcPr>
          <w:p w14:paraId="40B6C47A" w14:textId="027586D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3E9C4D9E" w14:textId="495DDAF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625,000</w:t>
            </w:r>
          </w:p>
        </w:tc>
        <w:tc>
          <w:tcPr>
            <w:tcW w:w="619" w:type="pct"/>
            <w:shd w:val="clear" w:color="000000" w:fill="4F81BD"/>
            <w:vAlign w:val="center"/>
            <w:hideMark/>
          </w:tcPr>
          <w:p w14:paraId="0D5A8350" w14:textId="05D63E7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1,225,000</w:t>
            </w:r>
          </w:p>
        </w:tc>
        <w:tc>
          <w:tcPr>
            <w:tcW w:w="618" w:type="pct"/>
            <w:shd w:val="clear" w:color="000000" w:fill="4F81BD"/>
            <w:vAlign w:val="center"/>
            <w:hideMark/>
          </w:tcPr>
          <w:p w14:paraId="646C5087" w14:textId="0753429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1,525,000</w:t>
            </w:r>
          </w:p>
        </w:tc>
        <w:tc>
          <w:tcPr>
            <w:tcW w:w="618" w:type="pct"/>
            <w:shd w:val="clear" w:color="000000" w:fill="4F81BD"/>
            <w:vAlign w:val="center"/>
            <w:hideMark/>
          </w:tcPr>
          <w:p w14:paraId="2A5A3B4A" w14:textId="69073D9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3,375,000</w:t>
            </w:r>
          </w:p>
        </w:tc>
        <w:tc>
          <w:tcPr>
            <w:tcW w:w="619" w:type="pct"/>
            <w:shd w:val="clear" w:color="000000" w:fill="4F81BD"/>
            <w:vAlign w:val="center"/>
            <w:hideMark/>
          </w:tcPr>
          <w:p w14:paraId="62A13D1A" w14:textId="2F215B4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3,375,000</w:t>
            </w:r>
          </w:p>
        </w:tc>
      </w:tr>
      <w:tr w:rsidR="00D61677" w:rsidRPr="003B7009" w14:paraId="2135438D" w14:textId="77777777" w:rsidTr="00D61677">
        <w:trPr>
          <w:trHeight w:val="20"/>
        </w:trPr>
        <w:tc>
          <w:tcPr>
            <w:tcW w:w="1289" w:type="pct"/>
            <w:shd w:val="clear" w:color="000000" w:fill="95B3D7"/>
            <w:vAlign w:val="center"/>
            <w:hideMark/>
          </w:tcPr>
          <w:p w14:paraId="6F2830A4"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4.1 TD: Treasury Systems Development </w:t>
            </w:r>
          </w:p>
        </w:tc>
        <w:tc>
          <w:tcPr>
            <w:tcW w:w="618" w:type="pct"/>
            <w:shd w:val="clear" w:color="000000" w:fill="95B3D7"/>
            <w:vAlign w:val="center"/>
            <w:hideMark/>
          </w:tcPr>
          <w:p w14:paraId="73DEE488" w14:textId="2A80526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8F23768" w14:textId="3650269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125,000</w:t>
            </w:r>
          </w:p>
        </w:tc>
        <w:tc>
          <w:tcPr>
            <w:tcW w:w="619" w:type="pct"/>
            <w:shd w:val="clear" w:color="000000" w:fill="95B3D7"/>
            <w:vAlign w:val="center"/>
            <w:hideMark/>
          </w:tcPr>
          <w:p w14:paraId="0F447051" w14:textId="506C68F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645,000</w:t>
            </w:r>
          </w:p>
        </w:tc>
        <w:tc>
          <w:tcPr>
            <w:tcW w:w="618" w:type="pct"/>
            <w:shd w:val="clear" w:color="000000" w:fill="95B3D7"/>
            <w:vAlign w:val="center"/>
            <w:hideMark/>
          </w:tcPr>
          <w:p w14:paraId="4F959D9B" w14:textId="4A85BC5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1,505,000</w:t>
            </w:r>
          </w:p>
        </w:tc>
        <w:tc>
          <w:tcPr>
            <w:tcW w:w="618" w:type="pct"/>
            <w:shd w:val="clear" w:color="000000" w:fill="95B3D7"/>
            <w:vAlign w:val="center"/>
            <w:hideMark/>
          </w:tcPr>
          <w:p w14:paraId="39CC1668" w14:textId="6578110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2,275,000</w:t>
            </w:r>
          </w:p>
        </w:tc>
        <w:tc>
          <w:tcPr>
            <w:tcW w:w="619" w:type="pct"/>
            <w:shd w:val="clear" w:color="000000" w:fill="95B3D7"/>
            <w:vAlign w:val="center"/>
            <w:hideMark/>
          </w:tcPr>
          <w:p w14:paraId="6584581D" w14:textId="6FFBB18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2,275,000</w:t>
            </w:r>
          </w:p>
        </w:tc>
      </w:tr>
      <w:tr w:rsidR="00D61677" w:rsidRPr="003B7009" w14:paraId="018906E0" w14:textId="77777777" w:rsidTr="00D61677">
        <w:trPr>
          <w:trHeight w:val="20"/>
        </w:trPr>
        <w:tc>
          <w:tcPr>
            <w:tcW w:w="1289" w:type="pct"/>
            <w:shd w:val="clear" w:color="000000" w:fill="95B3D7"/>
            <w:vAlign w:val="center"/>
            <w:hideMark/>
          </w:tcPr>
          <w:p w14:paraId="136D4B1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4.2 TD: Accounting </w:t>
            </w:r>
          </w:p>
        </w:tc>
        <w:tc>
          <w:tcPr>
            <w:tcW w:w="618" w:type="pct"/>
            <w:shd w:val="clear" w:color="000000" w:fill="95B3D7"/>
            <w:vAlign w:val="center"/>
            <w:hideMark/>
          </w:tcPr>
          <w:p w14:paraId="62E6AD83" w14:textId="6A8CD10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69B539B" w14:textId="4682247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250,000</w:t>
            </w:r>
          </w:p>
        </w:tc>
        <w:tc>
          <w:tcPr>
            <w:tcW w:w="619" w:type="pct"/>
            <w:shd w:val="clear" w:color="000000" w:fill="95B3D7"/>
            <w:vAlign w:val="center"/>
            <w:hideMark/>
          </w:tcPr>
          <w:p w14:paraId="4FE3330E" w14:textId="2D57BDC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290,000</w:t>
            </w:r>
          </w:p>
        </w:tc>
        <w:tc>
          <w:tcPr>
            <w:tcW w:w="618" w:type="pct"/>
            <w:shd w:val="clear" w:color="000000" w:fill="95B3D7"/>
            <w:vAlign w:val="center"/>
            <w:hideMark/>
          </w:tcPr>
          <w:p w14:paraId="5A2A8071" w14:textId="08F32D1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10,000</w:t>
            </w:r>
          </w:p>
        </w:tc>
        <w:tc>
          <w:tcPr>
            <w:tcW w:w="618" w:type="pct"/>
            <w:shd w:val="clear" w:color="000000" w:fill="95B3D7"/>
            <w:vAlign w:val="center"/>
            <w:hideMark/>
          </w:tcPr>
          <w:p w14:paraId="2B8E5F85" w14:textId="7EBE716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550,000</w:t>
            </w:r>
          </w:p>
        </w:tc>
        <w:tc>
          <w:tcPr>
            <w:tcW w:w="619" w:type="pct"/>
            <w:shd w:val="clear" w:color="000000" w:fill="95B3D7"/>
            <w:vAlign w:val="center"/>
            <w:hideMark/>
          </w:tcPr>
          <w:p w14:paraId="0FF33D72" w14:textId="23047F9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550,000</w:t>
            </w:r>
          </w:p>
        </w:tc>
      </w:tr>
      <w:tr w:rsidR="00D61677" w:rsidRPr="003B7009" w14:paraId="78BA68BF" w14:textId="77777777" w:rsidTr="00D61677">
        <w:trPr>
          <w:trHeight w:val="20"/>
        </w:trPr>
        <w:tc>
          <w:tcPr>
            <w:tcW w:w="1289" w:type="pct"/>
            <w:shd w:val="clear" w:color="000000" w:fill="95B3D7"/>
            <w:vAlign w:val="center"/>
            <w:hideMark/>
          </w:tcPr>
          <w:p w14:paraId="00D9654B"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4.3 TD: Payments</w:t>
            </w:r>
          </w:p>
        </w:tc>
        <w:tc>
          <w:tcPr>
            <w:tcW w:w="618" w:type="pct"/>
            <w:shd w:val="clear" w:color="000000" w:fill="95B3D7"/>
            <w:vAlign w:val="center"/>
            <w:hideMark/>
          </w:tcPr>
          <w:p w14:paraId="2F0F9E47" w14:textId="34E4BA8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0537D955" w14:textId="691F4F1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250,000</w:t>
            </w:r>
          </w:p>
        </w:tc>
        <w:tc>
          <w:tcPr>
            <w:tcW w:w="619" w:type="pct"/>
            <w:shd w:val="clear" w:color="000000" w:fill="95B3D7"/>
            <w:vAlign w:val="center"/>
            <w:hideMark/>
          </w:tcPr>
          <w:p w14:paraId="4A993A4D" w14:textId="21F9271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290,000</w:t>
            </w:r>
          </w:p>
        </w:tc>
        <w:tc>
          <w:tcPr>
            <w:tcW w:w="618" w:type="pct"/>
            <w:shd w:val="clear" w:color="000000" w:fill="95B3D7"/>
            <w:vAlign w:val="center"/>
            <w:hideMark/>
          </w:tcPr>
          <w:p w14:paraId="735E88CE" w14:textId="0BE6888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10,000</w:t>
            </w:r>
          </w:p>
        </w:tc>
        <w:tc>
          <w:tcPr>
            <w:tcW w:w="618" w:type="pct"/>
            <w:shd w:val="clear" w:color="000000" w:fill="95B3D7"/>
            <w:vAlign w:val="center"/>
            <w:hideMark/>
          </w:tcPr>
          <w:p w14:paraId="0CB32D7E" w14:textId="7874682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550,000</w:t>
            </w:r>
          </w:p>
        </w:tc>
        <w:tc>
          <w:tcPr>
            <w:tcW w:w="619" w:type="pct"/>
            <w:shd w:val="clear" w:color="000000" w:fill="95B3D7"/>
            <w:vAlign w:val="center"/>
            <w:hideMark/>
          </w:tcPr>
          <w:p w14:paraId="50E4E88E" w14:textId="688BB64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550,000</w:t>
            </w:r>
          </w:p>
        </w:tc>
      </w:tr>
      <w:tr w:rsidR="00D61677" w:rsidRPr="003B7009" w14:paraId="7A7D89BA" w14:textId="77777777" w:rsidTr="00D61677">
        <w:trPr>
          <w:trHeight w:val="20"/>
        </w:trPr>
        <w:tc>
          <w:tcPr>
            <w:tcW w:w="1289" w:type="pct"/>
            <w:shd w:val="clear" w:color="auto" w:fill="auto"/>
            <w:vAlign w:val="center"/>
            <w:hideMark/>
          </w:tcPr>
          <w:p w14:paraId="22516D70"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28E01384" w14:textId="52DD8ABA"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375980C7" w14:textId="181FEAD9"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7FAE1341" w14:textId="1B81422E"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42590F5" w14:textId="48D48CCB"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4036FA05" w14:textId="125D3D6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182264B1" w14:textId="1E0918F2" w:rsidR="003B7009" w:rsidRPr="003B7009" w:rsidRDefault="003B7009" w:rsidP="00D61677">
            <w:pPr>
              <w:jc w:val="right"/>
              <w:rPr>
                <w:rFonts w:asciiTheme="minorHAnsi" w:hAnsiTheme="minorHAnsi"/>
                <w:sz w:val="16"/>
                <w:szCs w:val="16"/>
              </w:rPr>
            </w:pPr>
          </w:p>
        </w:tc>
      </w:tr>
      <w:tr w:rsidR="00D61677" w:rsidRPr="003B7009" w14:paraId="29A9D5DE" w14:textId="77777777" w:rsidTr="00D61677">
        <w:trPr>
          <w:trHeight w:val="20"/>
        </w:trPr>
        <w:tc>
          <w:tcPr>
            <w:tcW w:w="1289" w:type="pct"/>
            <w:shd w:val="clear" w:color="000000" w:fill="4F81BD"/>
            <w:vAlign w:val="center"/>
            <w:hideMark/>
          </w:tcPr>
          <w:p w14:paraId="3D19A3F3"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5.0 Budget Department </w:t>
            </w:r>
          </w:p>
        </w:tc>
        <w:tc>
          <w:tcPr>
            <w:tcW w:w="618" w:type="pct"/>
            <w:shd w:val="clear" w:color="000000" w:fill="4F81BD"/>
            <w:vAlign w:val="center"/>
            <w:hideMark/>
          </w:tcPr>
          <w:p w14:paraId="1BB37307" w14:textId="18C832C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4E508D89" w14:textId="3C762A1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645,833</w:t>
            </w:r>
          </w:p>
        </w:tc>
        <w:tc>
          <w:tcPr>
            <w:tcW w:w="619" w:type="pct"/>
            <w:shd w:val="clear" w:color="000000" w:fill="4F81BD"/>
            <w:vAlign w:val="center"/>
            <w:hideMark/>
          </w:tcPr>
          <w:p w14:paraId="0352B13E" w14:textId="65B5DD2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749,167</w:t>
            </w:r>
          </w:p>
        </w:tc>
        <w:tc>
          <w:tcPr>
            <w:tcW w:w="618" w:type="pct"/>
            <w:shd w:val="clear" w:color="000000" w:fill="4F81BD"/>
            <w:vAlign w:val="center"/>
            <w:hideMark/>
          </w:tcPr>
          <w:p w14:paraId="16663D4A" w14:textId="2AEFCE3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25,833</w:t>
            </w:r>
          </w:p>
        </w:tc>
        <w:tc>
          <w:tcPr>
            <w:tcW w:w="618" w:type="pct"/>
            <w:shd w:val="clear" w:color="000000" w:fill="4F81BD"/>
            <w:vAlign w:val="center"/>
            <w:hideMark/>
          </w:tcPr>
          <w:p w14:paraId="6B4A0857" w14:textId="30DC7AB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1,420,833</w:t>
            </w:r>
          </w:p>
        </w:tc>
        <w:tc>
          <w:tcPr>
            <w:tcW w:w="619" w:type="pct"/>
            <w:shd w:val="clear" w:color="000000" w:fill="4F81BD"/>
            <w:vAlign w:val="center"/>
            <w:hideMark/>
          </w:tcPr>
          <w:p w14:paraId="122ED4E3" w14:textId="139BDC0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1,420,833</w:t>
            </w:r>
          </w:p>
        </w:tc>
      </w:tr>
      <w:tr w:rsidR="00D61677" w:rsidRPr="003B7009" w14:paraId="026191D7" w14:textId="77777777" w:rsidTr="00D61677">
        <w:trPr>
          <w:trHeight w:val="20"/>
        </w:trPr>
        <w:tc>
          <w:tcPr>
            <w:tcW w:w="1289" w:type="pct"/>
            <w:shd w:val="clear" w:color="000000" w:fill="95B3D7"/>
            <w:vAlign w:val="center"/>
            <w:hideMark/>
          </w:tcPr>
          <w:p w14:paraId="737E717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5.1 BD: Budget Execution</w:t>
            </w:r>
          </w:p>
        </w:tc>
        <w:tc>
          <w:tcPr>
            <w:tcW w:w="618" w:type="pct"/>
            <w:shd w:val="clear" w:color="000000" w:fill="95B3D7"/>
            <w:vAlign w:val="center"/>
            <w:hideMark/>
          </w:tcPr>
          <w:p w14:paraId="54D42844" w14:textId="5B60C4D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6A199589" w14:textId="40159A2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300,000</w:t>
            </w:r>
          </w:p>
        </w:tc>
        <w:tc>
          <w:tcPr>
            <w:tcW w:w="619" w:type="pct"/>
            <w:shd w:val="clear" w:color="000000" w:fill="95B3D7"/>
            <w:vAlign w:val="center"/>
            <w:hideMark/>
          </w:tcPr>
          <w:p w14:paraId="728AAAFE" w14:textId="3D21CC5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348,000</w:t>
            </w:r>
          </w:p>
        </w:tc>
        <w:tc>
          <w:tcPr>
            <w:tcW w:w="618" w:type="pct"/>
            <w:shd w:val="clear" w:color="000000" w:fill="95B3D7"/>
            <w:vAlign w:val="center"/>
            <w:hideMark/>
          </w:tcPr>
          <w:p w14:paraId="4CCEC6A3" w14:textId="1B916DE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12,000</w:t>
            </w:r>
          </w:p>
        </w:tc>
        <w:tc>
          <w:tcPr>
            <w:tcW w:w="618" w:type="pct"/>
            <w:shd w:val="clear" w:color="000000" w:fill="95B3D7"/>
            <w:vAlign w:val="center"/>
            <w:hideMark/>
          </w:tcPr>
          <w:p w14:paraId="33A73880" w14:textId="7DBB903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660,000</w:t>
            </w:r>
          </w:p>
        </w:tc>
        <w:tc>
          <w:tcPr>
            <w:tcW w:w="619" w:type="pct"/>
            <w:shd w:val="clear" w:color="000000" w:fill="95B3D7"/>
            <w:vAlign w:val="center"/>
            <w:hideMark/>
          </w:tcPr>
          <w:p w14:paraId="312F65CF" w14:textId="56C6CCE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660,000</w:t>
            </w:r>
          </w:p>
        </w:tc>
      </w:tr>
      <w:tr w:rsidR="00D61677" w:rsidRPr="003B7009" w14:paraId="1206FC08" w14:textId="77777777" w:rsidTr="00D61677">
        <w:trPr>
          <w:trHeight w:val="20"/>
        </w:trPr>
        <w:tc>
          <w:tcPr>
            <w:tcW w:w="1289" w:type="pct"/>
            <w:shd w:val="clear" w:color="000000" w:fill="95B3D7"/>
            <w:vAlign w:val="center"/>
            <w:hideMark/>
          </w:tcPr>
          <w:p w14:paraId="74249E33"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5.2 BD: Budget Policy</w:t>
            </w:r>
          </w:p>
        </w:tc>
        <w:tc>
          <w:tcPr>
            <w:tcW w:w="618" w:type="pct"/>
            <w:shd w:val="clear" w:color="000000" w:fill="95B3D7"/>
            <w:vAlign w:val="center"/>
            <w:hideMark/>
          </w:tcPr>
          <w:p w14:paraId="3BD5F41B" w14:textId="7C11B91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A0277AB" w14:textId="4C6047D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345,833</w:t>
            </w:r>
          </w:p>
        </w:tc>
        <w:tc>
          <w:tcPr>
            <w:tcW w:w="619" w:type="pct"/>
            <w:shd w:val="clear" w:color="000000" w:fill="95B3D7"/>
            <w:vAlign w:val="center"/>
            <w:hideMark/>
          </w:tcPr>
          <w:p w14:paraId="6BB59603" w14:textId="2BBDDC8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401,167</w:t>
            </w:r>
          </w:p>
        </w:tc>
        <w:tc>
          <w:tcPr>
            <w:tcW w:w="618" w:type="pct"/>
            <w:shd w:val="clear" w:color="000000" w:fill="95B3D7"/>
            <w:vAlign w:val="center"/>
            <w:hideMark/>
          </w:tcPr>
          <w:p w14:paraId="3048E874" w14:textId="4B95666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13,833</w:t>
            </w:r>
          </w:p>
        </w:tc>
        <w:tc>
          <w:tcPr>
            <w:tcW w:w="618" w:type="pct"/>
            <w:shd w:val="clear" w:color="000000" w:fill="95B3D7"/>
            <w:vAlign w:val="center"/>
            <w:hideMark/>
          </w:tcPr>
          <w:p w14:paraId="780A6B40" w14:textId="17099A1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760,833</w:t>
            </w:r>
          </w:p>
        </w:tc>
        <w:tc>
          <w:tcPr>
            <w:tcW w:w="619" w:type="pct"/>
            <w:shd w:val="clear" w:color="000000" w:fill="95B3D7"/>
            <w:vAlign w:val="center"/>
            <w:hideMark/>
          </w:tcPr>
          <w:p w14:paraId="42C17088" w14:textId="07B4F6D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760,833</w:t>
            </w:r>
          </w:p>
        </w:tc>
      </w:tr>
      <w:tr w:rsidR="00D61677" w:rsidRPr="003B7009" w14:paraId="5611F1C2" w14:textId="77777777" w:rsidTr="00D61677">
        <w:trPr>
          <w:trHeight w:val="20"/>
        </w:trPr>
        <w:tc>
          <w:tcPr>
            <w:tcW w:w="1289" w:type="pct"/>
            <w:shd w:val="clear" w:color="auto" w:fill="auto"/>
            <w:vAlign w:val="center"/>
            <w:hideMark/>
          </w:tcPr>
          <w:p w14:paraId="30FF8497"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558E6BD9" w14:textId="446F8075"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3CC3940" w14:textId="049FF23B"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5CBD28C9" w14:textId="071C803A"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FD28D5F" w14:textId="6B6FECC9"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2B8653FF" w14:textId="24B09A7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5B513959" w14:textId="26219368" w:rsidR="003B7009" w:rsidRPr="003B7009" w:rsidRDefault="003B7009" w:rsidP="00D61677">
            <w:pPr>
              <w:jc w:val="right"/>
              <w:rPr>
                <w:rFonts w:asciiTheme="minorHAnsi" w:hAnsiTheme="minorHAnsi"/>
                <w:sz w:val="16"/>
                <w:szCs w:val="16"/>
              </w:rPr>
            </w:pPr>
          </w:p>
        </w:tc>
      </w:tr>
      <w:tr w:rsidR="00D61677" w:rsidRPr="003B7009" w14:paraId="25EBD323" w14:textId="77777777" w:rsidTr="00D61677">
        <w:trPr>
          <w:trHeight w:val="20"/>
        </w:trPr>
        <w:tc>
          <w:tcPr>
            <w:tcW w:w="1289" w:type="pct"/>
            <w:shd w:val="clear" w:color="000000" w:fill="4F81BD"/>
            <w:vAlign w:val="center"/>
            <w:hideMark/>
          </w:tcPr>
          <w:p w14:paraId="097484EF"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6.0 Admin Department</w:t>
            </w:r>
          </w:p>
        </w:tc>
        <w:tc>
          <w:tcPr>
            <w:tcW w:w="618" w:type="pct"/>
            <w:shd w:val="clear" w:color="000000" w:fill="4F81BD"/>
            <w:vAlign w:val="center"/>
            <w:hideMark/>
          </w:tcPr>
          <w:p w14:paraId="561C760D" w14:textId="29D8AB6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1CE9B787" w14:textId="348510A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931,250</w:t>
            </w:r>
          </w:p>
        </w:tc>
        <w:tc>
          <w:tcPr>
            <w:tcW w:w="619" w:type="pct"/>
            <w:shd w:val="clear" w:color="000000" w:fill="4F81BD"/>
            <w:vAlign w:val="center"/>
            <w:hideMark/>
          </w:tcPr>
          <w:p w14:paraId="4D32719C" w14:textId="087288E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1,080,250</w:t>
            </w:r>
          </w:p>
        </w:tc>
        <w:tc>
          <w:tcPr>
            <w:tcW w:w="618" w:type="pct"/>
            <w:shd w:val="clear" w:color="000000" w:fill="4F81BD"/>
            <w:vAlign w:val="center"/>
            <w:hideMark/>
          </w:tcPr>
          <w:p w14:paraId="233D5706" w14:textId="3504B52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2,037,250</w:t>
            </w:r>
          </w:p>
        </w:tc>
        <w:tc>
          <w:tcPr>
            <w:tcW w:w="618" w:type="pct"/>
            <w:shd w:val="clear" w:color="000000" w:fill="4F81BD"/>
            <w:vAlign w:val="center"/>
            <w:hideMark/>
          </w:tcPr>
          <w:p w14:paraId="0340437F" w14:textId="7192C53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4,048,750</w:t>
            </w:r>
          </w:p>
        </w:tc>
        <w:tc>
          <w:tcPr>
            <w:tcW w:w="619" w:type="pct"/>
            <w:shd w:val="clear" w:color="000000" w:fill="4F81BD"/>
            <w:vAlign w:val="center"/>
            <w:hideMark/>
          </w:tcPr>
          <w:p w14:paraId="536A0919" w14:textId="4BB5F8D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2,048,750</w:t>
            </w:r>
          </w:p>
        </w:tc>
      </w:tr>
      <w:tr w:rsidR="00D61677" w:rsidRPr="003B7009" w14:paraId="5537926D" w14:textId="77777777" w:rsidTr="00D61677">
        <w:trPr>
          <w:trHeight w:val="20"/>
        </w:trPr>
        <w:tc>
          <w:tcPr>
            <w:tcW w:w="1289" w:type="pct"/>
            <w:shd w:val="clear" w:color="000000" w:fill="95B3D7"/>
            <w:vAlign w:val="center"/>
            <w:hideMark/>
          </w:tcPr>
          <w:p w14:paraId="630FA208"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6.1 AD: Procurement and General Services </w:t>
            </w:r>
          </w:p>
        </w:tc>
        <w:tc>
          <w:tcPr>
            <w:tcW w:w="618" w:type="pct"/>
            <w:shd w:val="clear" w:color="000000" w:fill="95B3D7"/>
            <w:vAlign w:val="center"/>
            <w:hideMark/>
          </w:tcPr>
          <w:p w14:paraId="69C7EF36" w14:textId="7C57F4E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3630D072" w14:textId="7AC7442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75,000</w:t>
            </w:r>
          </w:p>
        </w:tc>
        <w:tc>
          <w:tcPr>
            <w:tcW w:w="619" w:type="pct"/>
            <w:shd w:val="clear" w:color="000000" w:fill="95B3D7"/>
            <w:vAlign w:val="center"/>
            <w:hideMark/>
          </w:tcPr>
          <w:p w14:paraId="09B9797D" w14:textId="14ECF2B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87,000</w:t>
            </w:r>
          </w:p>
        </w:tc>
        <w:tc>
          <w:tcPr>
            <w:tcW w:w="618" w:type="pct"/>
            <w:shd w:val="clear" w:color="000000" w:fill="95B3D7"/>
            <w:vAlign w:val="center"/>
            <w:hideMark/>
          </w:tcPr>
          <w:p w14:paraId="2B765C3F" w14:textId="453EC3E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3,000</w:t>
            </w:r>
          </w:p>
        </w:tc>
        <w:tc>
          <w:tcPr>
            <w:tcW w:w="618" w:type="pct"/>
            <w:shd w:val="clear" w:color="000000" w:fill="95B3D7"/>
            <w:vAlign w:val="center"/>
            <w:hideMark/>
          </w:tcPr>
          <w:p w14:paraId="76BD9A53" w14:textId="16C74FC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c>
          <w:tcPr>
            <w:tcW w:w="619" w:type="pct"/>
            <w:shd w:val="clear" w:color="000000" w:fill="95B3D7"/>
            <w:vAlign w:val="center"/>
            <w:hideMark/>
          </w:tcPr>
          <w:p w14:paraId="62D66041" w14:textId="57A3553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r>
      <w:tr w:rsidR="00D61677" w:rsidRPr="003B7009" w14:paraId="28B0CB78" w14:textId="77777777" w:rsidTr="00D61677">
        <w:trPr>
          <w:trHeight w:val="20"/>
        </w:trPr>
        <w:tc>
          <w:tcPr>
            <w:tcW w:w="1289" w:type="pct"/>
            <w:shd w:val="clear" w:color="000000" w:fill="95B3D7"/>
            <w:vAlign w:val="center"/>
            <w:hideMark/>
          </w:tcPr>
          <w:p w14:paraId="4FF94041"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6.2 AD: Finance and Accounting </w:t>
            </w:r>
          </w:p>
        </w:tc>
        <w:tc>
          <w:tcPr>
            <w:tcW w:w="618" w:type="pct"/>
            <w:shd w:val="clear" w:color="000000" w:fill="95B3D7"/>
            <w:vAlign w:val="center"/>
            <w:hideMark/>
          </w:tcPr>
          <w:p w14:paraId="2822E398" w14:textId="25FD8B1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5D81F9DC" w14:textId="2D17C95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443,750</w:t>
            </w:r>
          </w:p>
        </w:tc>
        <w:tc>
          <w:tcPr>
            <w:tcW w:w="619" w:type="pct"/>
            <w:shd w:val="clear" w:color="000000" w:fill="95B3D7"/>
            <w:vAlign w:val="center"/>
            <w:hideMark/>
          </w:tcPr>
          <w:p w14:paraId="5E5B5D3D" w14:textId="3392F02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514,750</w:t>
            </w:r>
          </w:p>
        </w:tc>
        <w:tc>
          <w:tcPr>
            <w:tcW w:w="618" w:type="pct"/>
            <w:shd w:val="clear" w:color="000000" w:fill="95B3D7"/>
            <w:vAlign w:val="center"/>
            <w:hideMark/>
          </w:tcPr>
          <w:p w14:paraId="7214D1B6" w14:textId="59A8CD7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17,750</w:t>
            </w:r>
          </w:p>
        </w:tc>
        <w:tc>
          <w:tcPr>
            <w:tcW w:w="618" w:type="pct"/>
            <w:shd w:val="clear" w:color="000000" w:fill="95B3D7"/>
            <w:vAlign w:val="center"/>
            <w:hideMark/>
          </w:tcPr>
          <w:p w14:paraId="23BE2A2E" w14:textId="7468964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976,250</w:t>
            </w:r>
          </w:p>
        </w:tc>
        <w:tc>
          <w:tcPr>
            <w:tcW w:w="619" w:type="pct"/>
            <w:shd w:val="clear" w:color="000000" w:fill="95B3D7"/>
            <w:vAlign w:val="center"/>
            <w:hideMark/>
          </w:tcPr>
          <w:p w14:paraId="5164F250" w14:textId="2D9FE47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976,250</w:t>
            </w:r>
          </w:p>
        </w:tc>
      </w:tr>
      <w:tr w:rsidR="00D61677" w:rsidRPr="003B7009" w14:paraId="23144670" w14:textId="77777777" w:rsidTr="00D61677">
        <w:trPr>
          <w:trHeight w:val="20"/>
        </w:trPr>
        <w:tc>
          <w:tcPr>
            <w:tcW w:w="1289" w:type="pct"/>
            <w:shd w:val="clear" w:color="000000" w:fill="95B3D7"/>
            <w:vAlign w:val="center"/>
            <w:hideMark/>
          </w:tcPr>
          <w:p w14:paraId="217A7D5B"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6.3 AD: IT</w:t>
            </w:r>
          </w:p>
        </w:tc>
        <w:tc>
          <w:tcPr>
            <w:tcW w:w="618" w:type="pct"/>
            <w:shd w:val="clear" w:color="000000" w:fill="95B3D7"/>
            <w:vAlign w:val="center"/>
            <w:hideMark/>
          </w:tcPr>
          <w:p w14:paraId="7327DFD3" w14:textId="7EC31CF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5BC2A4B3" w14:textId="2305C98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162,500</w:t>
            </w:r>
          </w:p>
        </w:tc>
        <w:tc>
          <w:tcPr>
            <w:tcW w:w="619" w:type="pct"/>
            <w:shd w:val="clear" w:color="000000" w:fill="95B3D7"/>
            <w:vAlign w:val="center"/>
            <w:hideMark/>
          </w:tcPr>
          <w:p w14:paraId="55355B64" w14:textId="7B33008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188,500</w:t>
            </w:r>
          </w:p>
        </w:tc>
        <w:tc>
          <w:tcPr>
            <w:tcW w:w="618" w:type="pct"/>
            <w:shd w:val="clear" w:color="000000" w:fill="95B3D7"/>
            <w:vAlign w:val="center"/>
            <w:hideMark/>
          </w:tcPr>
          <w:p w14:paraId="7AFFE889" w14:textId="300DCC2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2,006,500</w:t>
            </w:r>
          </w:p>
        </w:tc>
        <w:tc>
          <w:tcPr>
            <w:tcW w:w="618" w:type="pct"/>
            <w:shd w:val="clear" w:color="000000" w:fill="95B3D7"/>
            <w:vAlign w:val="center"/>
            <w:hideMark/>
          </w:tcPr>
          <w:p w14:paraId="4688CE79" w14:textId="620F6EE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2,357,500</w:t>
            </w:r>
          </w:p>
        </w:tc>
        <w:tc>
          <w:tcPr>
            <w:tcW w:w="619" w:type="pct"/>
            <w:shd w:val="clear" w:color="000000" w:fill="95B3D7"/>
            <w:vAlign w:val="center"/>
            <w:hideMark/>
          </w:tcPr>
          <w:p w14:paraId="0965D7CB" w14:textId="59154C1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357,500</w:t>
            </w:r>
          </w:p>
        </w:tc>
      </w:tr>
      <w:tr w:rsidR="00D61677" w:rsidRPr="003B7009" w14:paraId="36DACB52" w14:textId="77777777" w:rsidTr="00D61677">
        <w:trPr>
          <w:trHeight w:val="20"/>
        </w:trPr>
        <w:tc>
          <w:tcPr>
            <w:tcW w:w="1289" w:type="pct"/>
            <w:shd w:val="clear" w:color="000000" w:fill="95B3D7"/>
            <w:vAlign w:val="center"/>
            <w:hideMark/>
          </w:tcPr>
          <w:p w14:paraId="5BDEF94C"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6.4 AD: MoF Project Implementation Unit</w:t>
            </w:r>
          </w:p>
        </w:tc>
        <w:tc>
          <w:tcPr>
            <w:tcW w:w="618" w:type="pct"/>
            <w:shd w:val="clear" w:color="000000" w:fill="95B3D7"/>
            <w:vAlign w:val="center"/>
            <w:hideMark/>
          </w:tcPr>
          <w:p w14:paraId="140EC4CF" w14:textId="565A887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5A0F7C4" w14:textId="1325AC1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125,000</w:t>
            </w:r>
          </w:p>
        </w:tc>
        <w:tc>
          <w:tcPr>
            <w:tcW w:w="619" w:type="pct"/>
            <w:shd w:val="clear" w:color="000000" w:fill="95B3D7"/>
            <w:vAlign w:val="center"/>
            <w:hideMark/>
          </w:tcPr>
          <w:p w14:paraId="5B4DE761" w14:textId="1AA3B5B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145,000</w:t>
            </w:r>
          </w:p>
        </w:tc>
        <w:tc>
          <w:tcPr>
            <w:tcW w:w="618" w:type="pct"/>
            <w:shd w:val="clear" w:color="000000" w:fill="95B3D7"/>
            <w:vAlign w:val="center"/>
            <w:hideMark/>
          </w:tcPr>
          <w:p w14:paraId="56B25186" w14:textId="0474B4A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w:t>
            </w:r>
          </w:p>
        </w:tc>
        <w:tc>
          <w:tcPr>
            <w:tcW w:w="618" w:type="pct"/>
            <w:shd w:val="clear" w:color="000000" w:fill="95B3D7"/>
            <w:vAlign w:val="center"/>
            <w:hideMark/>
          </w:tcPr>
          <w:p w14:paraId="11EE60FE" w14:textId="0185B1D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275,000</w:t>
            </w:r>
          </w:p>
        </w:tc>
        <w:tc>
          <w:tcPr>
            <w:tcW w:w="619" w:type="pct"/>
            <w:shd w:val="clear" w:color="000000" w:fill="95B3D7"/>
            <w:vAlign w:val="center"/>
            <w:hideMark/>
          </w:tcPr>
          <w:p w14:paraId="010BA58D" w14:textId="7404D95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275,000</w:t>
            </w:r>
          </w:p>
        </w:tc>
      </w:tr>
      <w:tr w:rsidR="00D61677" w:rsidRPr="003B7009" w14:paraId="122B92C1" w14:textId="77777777" w:rsidTr="00D61677">
        <w:trPr>
          <w:trHeight w:val="20"/>
        </w:trPr>
        <w:tc>
          <w:tcPr>
            <w:tcW w:w="1289" w:type="pct"/>
            <w:shd w:val="clear" w:color="000000" w:fill="95B3D7"/>
            <w:vAlign w:val="center"/>
            <w:hideMark/>
          </w:tcPr>
          <w:p w14:paraId="02B6CC01"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lastRenderedPageBreak/>
              <w:t>6.5 AD: Auctions and Disposals Unit</w:t>
            </w:r>
          </w:p>
        </w:tc>
        <w:tc>
          <w:tcPr>
            <w:tcW w:w="618" w:type="pct"/>
            <w:shd w:val="clear" w:color="000000" w:fill="95B3D7"/>
            <w:vAlign w:val="center"/>
            <w:hideMark/>
          </w:tcPr>
          <w:p w14:paraId="39BCFEAE" w14:textId="4233D73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2833B85" w14:textId="5544F24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25,000</w:t>
            </w:r>
          </w:p>
        </w:tc>
        <w:tc>
          <w:tcPr>
            <w:tcW w:w="619" w:type="pct"/>
            <w:shd w:val="clear" w:color="000000" w:fill="95B3D7"/>
            <w:vAlign w:val="center"/>
            <w:hideMark/>
          </w:tcPr>
          <w:p w14:paraId="1F8F33C9" w14:textId="19507B4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29,000</w:t>
            </w:r>
          </w:p>
        </w:tc>
        <w:tc>
          <w:tcPr>
            <w:tcW w:w="618" w:type="pct"/>
            <w:shd w:val="clear" w:color="000000" w:fill="95B3D7"/>
            <w:vAlign w:val="center"/>
            <w:hideMark/>
          </w:tcPr>
          <w:p w14:paraId="53C27106" w14:textId="26B43AE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w:t>
            </w:r>
          </w:p>
        </w:tc>
        <w:tc>
          <w:tcPr>
            <w:tcW w:w="618" w:type="pct"/>
            <w:shd w:val="clear" w:color="000000" w:fill="95B3D7"/>
            <w:vAlign w:val="center"/>
            <w:hideMark/>
          </w:tcPr>
          <w:p w14:paraId="6576C633" w14:textId="4D3354B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w:t>
            </w:r>
          </w:p>
        </w:tc>
        <w:tc>
          <w:tcPr>
            <w:tcW w:w="619" w:type="pct"/>
            <w:shd w:val="clear" w:color="000000" w:fill="95B3D7"/>
            <w:vAlign w:val="center"/>
            <w:hideMark/>
          </w:tcPr>
          <w:p w14:paraId="189E7642" w14:textId="2ABF2AB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w:t>
            </w:r>
          </w:p>
        </w:tc>
      </w:tr>
      <w:tr w:rsidR="00D61677" w:rsidRPr="003B7009" w14:paraId="1580FBC9" w14:textId="77777777" w:rsidTr="00D61677">
        <w:trPr>
          <w:trHeight w:val="20"/>
        </w:trPr>
        <w:tc>
          <w:tcPr>
            <w:tcW w:w="1289" w:type="pct"/>
            <w:shd w:val="clear" w:color="000000" w:fill="95B3D7"/>
            <w:vAlign w:val="center"/>
            <w:hideMark/>
          </w:tcPr>
          <w:p w14:paraId="2CA9A23F"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6.6 AD: Gender Unit</w:t>
            </w:r>
          </w:p>
        </w:tc>
        <w:tc>
          <w:tcPr>
            <w:tcW w:w="618" w:type="pct"/>
            <w:shd w:val="clear" w:color="000000" w:fill="95B3D7"/>
            <w:vAlign w:val="center"/>
            <w:hideMark/>
          </w:tcPr>
          <w:p w14:paraId="02C22435" w14:textId="08747E1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6CF3A625" w14:textId="0B4EC91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100,000</w:t>
            </w:r>
          </w:p>
        </w:tc>
        <w:tc>
          <w:tcPr>
            <w:tcW w:w="619" w:type="pct"/>
            <w:shd w:val="clear" w:color="000000" w:fill="95B3D7"/>
            <w:vAlign w:val="center"/>
            <w:hideMark/>
          </w:tcPr>
          <w:p w14:paraId="5A39CFAE" w14:textId="1539DE7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116,000</w:t>
            </w:r>
          </w:p>
        </w:tc>
        <w:tc>
          <w:tcPr>
            <w:tcW w:w="618" w:type="pct"/>
            <w:shd w:val="clear" w:color="000000" w:fill="95B3D7"/>
            <w:vAlign w:val="center"/>
            <w:hideMark/>
          </w:tcPr>
          <w:p w14:paraId="76E128E3" w14:textId="5D57906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4,000</w:t>
            </w:r>
          </w:p>
        </w:tc>
        <w:tc>
          <w:tcPr>
            <w:tcW w:w="618" w:type="pct"/>
            <w:shd w:val="clear" w:color="000000" w:fill="95B3D7"/>
            <w:vAlign w:val="center"/>
            <w:hideMark/>
          </w:tcPr>
          <w:p w14:paraId="36EA9523" w14:textId="5C1055E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220,000</w:t>
            </w:r>
          </w:p>
        </w:tc>
        <w:tc>
          <w:tcPr>
            <w:tcW w:w="619" w:type="pct"/>
            <w:shd w:val="clear" w:color="000000" w:fill="95B3D7"/>
            <w:vAlign w:val="center"/>
            <w:hideMark/>
          </w:tcPr>
          <w:p w14:paraId="60681F2D" w14:textId="6C1EB61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220,000</w:t>
            </w:r>
          </w:p>
        </w:tc>
      </w:tr>
      <w:tr w:rsidR="00D61677" w:rsidRPr="003B7009" w14:paraId="1D283813" w14:textId="77777777" w:rsidTr="00D61677">
        <w:trPr>
          <w:trHeight w:val="20"/>
        </w:trPr>
        <w:tc>
          <w:tcPr>
            <w:tcW w:w="1289" w:type="pct"/>
            <w:shd w:val="clear" w:color="auto" w:fill="auto"/>
            <w:vAlign w:val="center"/>
            <w:hideMark/>
          </w:tcPr>
          <w:p w14:paraId="1047F9DB"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34490400" w14:textId="713C919B"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702B4BBD" w14:textId="3BAACDE3"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48058666" w14:textId="22A94A91"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1701D0E6" w14:textId="539E72FE"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3BB7B2DD" w14:textId="4F1D8B0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1155A1AE" w14:textId="3B6B4D55" w:rsidR="003B7009" w:rsidRPr="003B7009" w:rsidRDefault="003B7009" w:rsidP="00D61677">
            <w:pPr>
              <w:jc w:val="right"/>
              <w:rPr>
                <w:rFonts w:asciiTheme="minorHAnsi" w:hAnsiTheme="minorHAnsi"/>
                <w:sz w:val="16"/>
                <w:szCs w:val="16"/>
              </w:rPr>
            </w:pPr>
          </w:p>
        </w:tc>
      </w:tr>
      <w:tr w:rsidR="00D61677" w:rsidRPr="003B7009" w14:paraId="43B11D57" w14:textId="77777777" w:rsidTr="00D61677">
        <w:trPr>
          <w:trHeight w:val="20"/>
        </w:trPr>
        <w:tc>
          <w:tcPr>
            <w:tcW w:w="1289" w:type="pct"/>
            <w:shd w:val="clear" w:color="000000" w:fill="4F81BD"/>
            <w:vAlign w:val="center"/>
            <w:hideMark/>
          </w:tcPr>
          <w:p w14:paraId="2AFBFCA8"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7.0 SOE Department </w:t>
            </w:r>
          </w:p>
        </w:tc>
        <w:tc>
          <w:tcPr>
            <w:tcW w:w="618" w:type="pct"/>
            <w:shd w:val="clear" w:color="000000" w:fill="4F81BD"/>
            <w:vAlign w:val="center"/>
            <w:hideMark/>
          </w:tcPr>
          <w:p w14:paraId="20188503" w14:textId="5F8C001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67B37E9B" w14:textId="6F938DC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402,083</w:t>
            </w:r>
          </w:p>
        </w:tc>
        <w:tc>
          <w:tcPr>
            <w:tcW w:w="619" w:type="pct"/>
            <w:shd w:val="clear" w:color="000000" w:fill="4F81BD"/>
            <w:vAlign w:val="center"/>
            <w:hideMark/>
          </w:tcPr>
          <w:p w14:paraId="6C0CFB30" w14:textId="3E12FED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466,417</w:t>
            </w:r>
          </w:p>
        </w:tc>
        <w:tc>
          <w:tcPr>
            <w:tcW w:w="618" w:type="pct"/>
            <w:shd w:val="clear" w:color="000000" w:fill="4F81BD"/>
            <w:vAlign w:val="center"/>
            <w:hideMark/>
          </w:tcPr>
          <w:p w14:paraId="490D5C72" w14:textId="6C7837A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16,083</w:t>
            </w:r>
          </w:p>
        </w:tc>
        <w:tc>
          <w:tcPr>
            <w:tcW w:w="618" w:type="pct"/>
            <w:shd w:val="clear" w:color="000000" w:fill="4F81BD"/>
            <w:vAlign w:val="center"/>
            <w:hideMark/>
          </w:tcPr>
          <w:p w14:paraId="20A04C92" w14:textId="23A4616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884,583</w:t>
            </w:r>
          </w:p>
        </w:tc>
        <w:tc>
          <w:tcPr>
            <w:tcW w:w="619" w:type="pct"/>
            <w:shd w:val="clear" w:color="000000" w:fill="4F81BD"/>
            <w:vAlign w:val="center"/>
            <w:hideMark/>
          </w:tcPr>
          <w:p w14:paraId="40A637A2" w14:textId="4A9BC87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884,583</w:t>
            </w:r>
          </w:p>
        </w:tc>
      </w:tr>
      <w:tr w:rsidR="00D61677" w:rsidRPr="003B7009" w14:paraId="664E409B" w14:textId="77777777" w:rsidTr="00D61677">
        <w:trPr>
          <w:trHeight w:val="20"/>
        </w:trPr>
        <w:tc>
          <w:tcPr>
            <w:tcW w:w="1289" w:type="pct"/>
            <w:shd w:val="clear" w:color="000000" w:fill="95B3D7"/>
            <w:vAlign w:val="center"/>
            <w:hideMark/>
          </w:tcPr>
          <w:p w14:paraId="7CBF6420"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7.1 SD: Policy &amp; Coordination</w:t>
            </w:r>
          </w:p>
        </w:tc>
        <w:tc>
          <w:tcPr>
            <w:tcW w:w="618" w:type="pct"/>
            <w:shd w:val="clear" w:color="000000" w:fill="95B3D7"/>
            <w:vAlign w:val="center"/>
            <w:hideMark/>
          </w:tcPr>
          <w:p w14:paraId="55711171" w14:textId="3860C8F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6DB6F297" w14:textId="1064E0B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87,500</w:t>
            </w:r>
          </w:p>
        </w:tc>
        <w:tc>
          <w:tcPr>
            <w:tcW w:w="619" w:type="pct"/>
            <w:shd w:val="clear" w:color="000000" w:fill="95B3D7"/>
            <w:vAlign w:val="center"/>
            <w:hideMark/>
          </w:tcPr>
          <w:p w14:paraId="1E858331" w14:textId="63930E7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101,500</w:t>
            </w:r>
          </w:p>
        </w:tc>
        <w:tc>
          <w:tcPr>
            <w:tcW w:w="618" w:type="pct"/>
            <w:shd w:val="clear" w:color="000000" w:fill="95B3D7"/>
            <w:vAlign w:val="center"/>
            <w:hideMark/>
          </w:tcPr>
          <w:p w14:paraId="0306BDDB" w14:textId="4EFDF60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3,500</w:t>
            </w:r>
          </w:p>
        </w:tc>
        <w:tc>
          <w:tcPr>
            <w:tcW w:w="618" w:type="pct"/>
            <w:shd w:val="clear" w:color="000000" w:fill="95B3D7"/>
            <w:vAlign w:val="center"/>
            <w:hideMark/>
          </w:tcPr>
          <w:p w14:paraId="34AE1FE0" w14:textId="66DBF47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192,500</w:t>
            </w:r>
          </w:p>
        </w:tc>
        <w:tc>
          <w:tcPr>
            <w:tcW w:w="619" w:type="pct"/>
            <w:shd w:val="clear" w:color="000000" w:fill="95B3D7"/>
            <w:vAlign w:val="center"/>
            <w:hideMark/>
          </w:tcPr>
          <w:p w14:paraId="17099964" w14:textId="028BCDB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192,500</w:t>
            </w:r>
          </w:p>
        </w:tc>
      </w:tr>
      <w:tr w:rsidR="00D61677" w:rsidRPr="003B7009" w14:paraId="5A556183" w14:textId="77777777" w:rsidTr="00D61677">
        <w:trPr>
          <w:trHeight w:val="20"/>
        </w:trPr>
        <w:tc>
          <w:tcPr>
            <w:tcW w:w="1289" w:type="pct"/>
            <w:shd w:val="clear" w:color="000000" w:fill="95B3D7"/>
            <w:vAlign w:val="center"/>
            <w:hideMark/>
          </w:tcPr>
          <w:p w14:paraId="63116BC0"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7.2 SD: Financial Monitoring SoCs</w:t>
            </w:r>
          </w:p>
        </w:tc>
        <w:tc>
          <w:tcPr>
            <w:tcW w:w="618" w:type="pct"/>
            <w:shd w:val="clear" w:color="000000" w:fill="95B3D7"/>
            <w:vAlign w:val="center"/>
            <w:hideMark/>
          </w:tcPr>
          <w:p w14:paraId="2E5F7EBE" w14:textId="6398754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08DF845" w14:textId="4B8653F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150,000</w:t>
            </w:r>
          </w:p>
        </w:tc>
        <w:tc>
          <w:tcPr>
            <w:tcW w:w="619" w:type="pct"/>
            <w:shd w:val="clear" w:color="000000" w:fill="95B3D7"/>
            <w:vAlign w:val="center"/>
            <w:hideMark/>
          </w:tcPr>
          <w:p w14:paraId="017A4038" w14:textId="14C5FCE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174,000</w:t>
            </w:r>
          </w:p>
        </w:tc>
        <w:tc>
          <w:tcPr>
            <w:tcW w:w="618" w:type="pct"/>
            <w:shd w:val="clear" w:color="000000" w:fill="95B3D7"/>
            <w:vAlign w:val="center"/>
            <w:hideMark/>
          </w:tcPr>
          <w:p w14:paraId="49FE4CF4" w14:textId="561D941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6,000</w:t>
            </w:r>
          </w:p>
        </w:tc>
        <w:tc>
          <w:tcPr>
            <w:tcW w:w="618" w:type="pct"/>
            <w:shd w:val="clear" w:color="000000" w:fill="95B3D7"/>
            <w:vAlign w:val="center"/>
            <w:hideMark/>
          </w:tcPr>
          <w:p w14:paraId="3BDB17B7" w14:textId="2A63522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330,000</w:t>
            </w:r>
          </w:p>
        </w:tc>
        <w:tc>
          <w:tcPr>
            <w:tcW w:w="619" w:type="pct"/>
            <w:shd w:val="clear" w:color="000000" w:fill="95B3D7"/>
            <w:vAlign w:val="center"/>
            <w:hideMark/>
          </w:tcPr>
          <w:p w14:paraId="5F299C13" w14:textId="081BBCA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330,000</w:t>
            </w:r>
          </w:p>
        </w:tc>
      </w:tr>
      <w:tr w:rsidR="00D61677" w:rsidRPr="003B7009" w14:paraId="3D26E070" w14:textId="77777777" w:rsidTr="00D61677">
        <w:trPr>
          <w:trHeight w:val="20"/>
        </w:trPr>
        <w:tc>
          <w:tcPr>
            <w:tcW w:w="1289" w:type="pct"/>
            <w:shd w:val="clear" w:color="000000" w:fill="95B3D7"/>
            <w:vAlign w:val="center"/>
            <w:hideMark/>
          </w:tcPr>
          <w:p w14:paraId="188ACBEA"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7.3 SD: Financial Monitoring SoEs</w:t>
            </w:r>
          </w:p>
        </w:tc>
        <w:tc>
          <w:tcPr>
            <w:tcW w:w="618" w:type="pct"/>
            <w:shd w:val="clear" w:color="000000" w:fill="95B3D7"/>
            <w:vAlign w:val="center"/>
            <w:hideMark/>
          </w:tcPr>
          <w:p w14:paraId="1FBD8403" w14:textId="478EF7E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47E1CD0" w14:textId="50D7F36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89,583</w:t>
            </w:r>
          </w:p>
        </w:tc>
        <w:tc>
          <w:tcPr>
            <w:tcW w:w="619" w:type="pct"/>
            <w:shd w:val="clear" w:color="000000" w:fill="95B3D7"/>
            <w:vAlign w:val="center"/>
            <w:hideMark/>
          </w:tcPr>
          <w:p w14:paraId="35243A78" w14:textId="2599116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103,917</w:t>
            </w:r>
          </w:p>
        </w:tc>
        <w:tc>
          <w:tcPr>
            <w:tcW w:w="618" w:type="pct"/>
            <w:shd w:val="clear" w:color="000000" w:fill="95B3D7"/>
            <w:vAlign w:val="center"/>
            <w:hideMark/>
          </w:tcPr>
          <w:p w14:paraId="49E3DE71" w14:textId="59F9D71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3,583</w:t>
            </w:r>
          </w:p>
        </w:tc>
        <w:tc>
          <w:tcPr>
            <w:tcW w:w="618" w:type="pct"/>
            <w:shd w:val="clear" w:color="000000" w:fill="95B3D7"/>
            <w:vAlign w:val="center"/>
            <w:hideMark/>
          </w:tcPr>
          <w:p w14:paraId="45D96E84" w14:textId="72A8951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197,083</w:t>
            </w:r>
          </w:p>
        </w:tc>
        <w:tc>
          <w:tcPr>
            <w:tcW w:w="619" w:type="pct"/>
            <w:shd w:val="clear" w:color="000000" w:fill="95B3D7"/>
            <w:vAlign w:val="center"/>
            <w:hideMark/>
          </w:tcPr>
          <w:p w14:paraId="41719326" w14:textId="59E5E25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197,083</w:t>
            </w:r>
          </w:p>
        </w:tc>
      </w:tr>
      <w:tr w:rsidR="00D61677" w:rsidRPr="003B7009" w14:paraId="76737552" w14:textId="77777777" w:rsidTr="00D61677">
        <w:trPr>
          <w:trHeight w:val="20"/>
        </w:trPr>
        <w:tc>
          <w:tcPr>
            <w:tcW w:w="1289" w:type="pct"/>
            <w:shd w:val="clear" w:color="000000" w:fill="95B3D7"/>
            <w:vAlign w:val="center"/>
            <w:hideMark/>
          </w:tcPr>
          <w:p w14:paraId="177CF50B"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7.4 SD: Divesture of State Profitable Entities and Establishment of New State-Owned Enterprises and Corporations</w:t>
            </w:r>
          </w:p>
        </w:tc>
        <w:tc>
          <w:tcPr>
            <w:tcW w:w="618" w:type="pct"/>
            <w:shd w:val="clear" w:color="000000" w:fill="95B3D7"/>
            <w:vAlign w:val="center"/>
            <w:hideMark/>
          </w:tcPr>
          <w:p w14:paraId="2FD15DFF" w14:textId="3EF312A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0E0FBF8E" w14:textId="751E509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75,000</w:t>
            </w:r>
          </w:p>
        </w:tc>
        <w:tc>
          <w:tcPr>
            <w:tcW w:w="619" w:type="pct"/>
            <w:shd w:val="clear" w:color="000000" w:fill="95B3D7"/>
            <w:vAlign w:val="center"/>
            <w:hideMark/>
          </w:tcPr>
          <w:p w14:paraId="0D345BBE" w14:textId="7310F39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87,000</w:t>
            </w:r>
          </w:p>
        </w:tc>
        <w:tc>
          <w:tcPr>
            <w:tcW w:w="618" w:type="pct"/>
            <w:shd w:val="clear" w:color="000000" w:fill="95B3D7"/>
            <w:vAlign w:val="center"/>
            <w:hideMark/>
          </w:tcPr>
          <w:p w14:paraId="2CB0417F" w14:textId="5CE2157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3,000</w:t>
            </w:r>
          </w:p>
        </w:tc>
        <w:tc>
          <w:tcPr>
            <w:tcW w:w="618" w:type="pct"/>
            <w:shd w:val="clear" w:color="000000" w:fill="95B3D7"/>
            <w:vAlign w:val="center"/>
            <w:hideMark/>
          </w:tcPr>
          <w:p w14:paraId="00CD64D4" w14:textId="0132C88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c>
          <w:tcPr>
            <w:tcW w:w="619" w:type="pct"/>
            <w:shd w:val="clear" w:color="000000" w:fill="95B3D7"/>
            <w:vAlign w:val="center"/>
            <w:hideMark/>
          </w:tcPr>
          <w:p w14:paraId="62A1DBA0" w14:textId="54172CA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r>
      <w:tr w:rsidR="00D61677" w:rsidRPr="003B7009" w14:paraId="657E7D7D" w14:textId="77777777" w:rsidTr="00D61677">
        <w:trPr>
          <w:trHeight w:val="20"/>
        </w:trPr>
        <w:tc>
          <w:tcPr>
            <w:tcW w:w="1289" w:type="pct"/>
            <w:shd w:val="clear" w:color="auto" w:fill="auto"/>
            <w:vAlign w:val="center"/>
            <w:hideMark/>
          </w:tcPr>
          <w:p w14:paraId="4668BB2E"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3AE1BF3C" w14:textId="1818FE9A"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01722D61" w14:textId="11EC1E0F"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144387C8" w14:textId="2A49DD33"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7DBCB734" w14:textId="6EB7A665"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4BCD5065" w14:textId="2D26CF6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1E9216B9" w14:textId="44EFCFA7" w:rsidR="003B7009" w:rsidRPr="003B7009" w:rsidRDefault="003B7009" w:rsidP="00D61677">
            <w:pPr>
              <w:jc w:val="right"/>
              <w:rPr>
                <w:rFonts w:asciiTheme="minorHAnsi" w:hAnsiTheme="minorHAnsi"/>
                <w:sz w:val="16"/>
                <w:szCs w:val="16"/>
              </w:rPr>
            </w:pPr>
          </w:p>
        </w:tc>
      </w:tr>
      <w:tr w:rsidR="00D61677" w:rsidRPr="003B7009" w14:paraId="0FAF6534" w14:textId="77777777" w:rsidTr="00D61677">
        <w:trPr>
          <w:trHeight w:val="20"/>
        </w:trPr>
        <w:tc>
          <w:tcPr>
            <w:tcW w:w="1289" w:type="pct"/>
            <w:shd w:val="clear" w:color="000000" w:fill="4F81BD"/>
            <w:vAlign w:val="center"/>
            <w:hideMark/>
          </w:tcPr>
          <w:p w14:paraId="40A10CC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8.0 Property Department</w:t>
            </w:r>
          </w:p>
        </w:tc>
        <w:tc>
          <w:tcPr>
            <w:tcW w:w="618" w:type="pct"/>
            <w:shd w:val="clear" w:color="000000" w:fill="4F81BD"/>
            <w:vAlign w:val="center"/>
            <w:hideMark/>
          </w:tcPr>
          <w:p w14:paraId="7D7455D4" w14:textId="0ACB372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730DABE9" w14:textId="4AFCEEA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522,500</w:t>
            </w:r>
          </w:p>
        </w:tc>
        <w:tc>
          <w:tcPr>
            <w:tcW w:w="619" w:type="pct"/>
            <w:shd w:val="clear" w:color="000000" w:fill="4F81BD"/>
            <w:vAlign w:val="center"/>
            <w:hideMark/>
          </w:tcPr>
          <w:p w14:paraId="6E88FA42" w14:textId="7646410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606,100</w:t>
            </w:r>
          </w:p>
        </w:tc>
        <w:tc>
          <w:tcPr>
            <w:tcW w:w="618" w:type="pct"/>
            <w:shd w:val="clear" w:color="000000" w:fill="4F81BD"/>
            <w:vAlign w:val="center"/>
            <w:hideMark/>
          </w:tcPr>
          <w:p w14:paraId="17F5B67B" w14:textId="0179285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20,900</w:t>
            </w:r>
          </w:p>
        </w:tc>
        <w:tc>
          <w:tcPr>
            <w:tcW w:w="618" w:type="pct"/>
            <w:shd w:val="clear" w:color="000000" w:fill="4F81BD"/>
            <w:vAlign w:val="center"/>
            <w:hideMark/>
          </w:tcPr>
          <w:p w14:paraId="486653F1" w14:textId="598BA07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1,149,500</w:t>
            </w:r>
          </w:p>
        </w:tc>
        <w:tc>
          <w:tcPr>
            <w:tcW w:w="619" w:type="pct"/>
            <w:shd w:val="clear" w:color="000000" w:fill="4F81BD"/>
            <w:vAlign w:val="center"/>
            <w:hideMark/>
          </w:tcPr>
          <w:p w14:paraId="18AF146D" w14:textId="1A4864D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1,149,500</w:t>
            </w:r>
          </w:p>
        </w:tc>
      </w:tr>
      <w:tr w:rsidR="00D61677" w:rsidRPr="003B7009" w14:paraId="71C65046" w14:textId="77777777" w:rsidTr="00D61677">
        <w:trPr>
          <w:trHeight w:val="20"/>
        </w:trPr>
        <w:tc>
          <w:tcPr>
            <w:tcW w:w="1289" w:type="pct"/>
            <w:shd w:val="clear" w:color="000000" w:fill="95B3D7"/>
            <w:vAlign w:val="center"/>
            <w:hideMark/>
          </w:tcPr>
          <w:p w14:paraId="56CA39EE"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8.1 PD: Provincial Property Directorate</w:t>
            </w:r>
          </w:p>
        </w:tc>
        <w:tc>
          <w:tcPr>
            <w:tcW w:w="618" w:type="pct"/>
            <w:shd w:val="clear" w:color="000000" w:fill="95B3D7"/>
            <w:vAlign w:val="center"/>
            <w:hideMark/>
          </w:tcPr>
          <w:p w14:paraId="271D4896" w14:textId="5CB8B98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9767644" w14:textId="253DE76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145,000</w:t>
            </w:r>
          </w:p>
        </w:tc>
        <w:tc>
          <w:tcPr>
            <w:tcW w:w="619" w:type="pct"/>
            <w:shd w:val="clear" w:color="000000" w:fill="95B3D7"/>
            <w:vAlign w:val="center"/>
            <w:hideMark/>
          </w:tcPr>
          <w:p w14:paraId="40A3C507" w14:textId="5EB80B0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168,200</w:t>
            </w:r>
          </w:p>
        </w:tc>
        <w:tc>
          <w:tcPr>
            <w:tcW w:w="618" w:type="pct"/>
            <w:shd w:val="clear" w:color="000000" w:fill="95B3D7"/>
            <w:vAlign w:val="center"/>
            <w:hideMark/>
          </w:tcPr>
          <w:p w14:paraId="65CA6B77" w14:textId="28451C4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5,800</w:t>
            </w:r>
          </w:p>
        </w:tc>
        <w:tc>
          <w:tcPr>
            <w:tcW w:w="618" w:type="pct"/>
            <w:shd w:val="clear" w:color="000000" w:fill="95B3D7"/>
            <w:vAlign w:val="center"/>
            <w:hideMark/>
          </w:tcPr>
          <w:p w14:paraId="2189B0D7" w14:textId="0700FCD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319,000</w:t>
            </w:r>
          </w:p>
        </w:tc>
        <w:tc>
          <w:tcPr>
            <w:tcW w:w="619" w:type="pct"/>
            <w:shd w:val="clear" w:color="000000" w:fill="95B3D7"/>
            <w:vAlign w:val="center"/>
            <w:hideMark/>
          </w:tcPr>
          <w:p w14:paraId="3A51DE34" w14:textId="5268C56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319,000</w:t>
            </w:r>
          </w:p>
        </w:tc>
      </w:tr>
      <w:tr w:rsidR="00D61677" w:rsidRPr="003B7009" w14:paraId="75AAF911" w14:textId="77777777" w:rsidTr="00D61677">
        <w:trPr>
          <w:trHeight w:val="20"/>
        </w:trPr>
        <w:tc>
          <w:tcPr>
            <w:tcW w:w="1289" w:type="pct"/>
            <w:shd w:val="clear" w:color="000000" w:fill="95B3D7"/>
            <w:vAlign w:val="center"/>
            <w:hideMark/>
          </w:tcPr>
          <w:p w14:paraId="6002700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8.2 PD: Registration and Resolution Directorate</w:t>
            </w:r>
          </w:p>
        </w:tc>
        <w:tc>
          <w:tcPr>
            <w:tcW w:w="618" w:type="pct"/>
            <w:shd w:val="clear" w:color="000000" w:fill="95B3D7"/>
            <w:vAlign w:val="center"/>
            <w:hideMark/>
          </w:tcPr>
          <w:p w14:paraId="5890E49B" w14:textId="157EC14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99EF842" w14:textId="41827BF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195,000</w:t>
            </w:r>
          </w:p>
        </w:tc>
        <w:tc>
          <w:tcPr>
            <w:tcW w:w="619" w:type="pct"/>
            <w:shd w:val="clear" w:color="000000" w:fill="95B3D7"/>
            <w:vAlign w:val="center"/>
            <w:hideMark/>
          </w:tcPr>
          <w:p w14:paraId="72A6CFAB" w14:textId="212BEC9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226,200</w:t>
            </w:r>
          </w:p>
        </w:tc>
        <w:tc>
          <w:tcPr>
            <w:tcW w:w="618" w:type="pct"/>
            <w:shd w:val="clear" w:color="000000" w:fill="95B3D7"/>
            <w:vAlign w:val="center"/>
            <w:hideMark/>
          </w:tcPr>
          <w:p w14:paraId="0479CF35" w14:textId="4E7C35C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7,800</w:t>
            </w:r>
          </w:p>
        </w:tc>
        <w:tc>
          <w:tcPr>
            <w:tcW w:w="618" w:type="pct"/>
            <w:shd w:val="clear" w:color="000000" w:fill="95B3D7"/>
            <w:vAlign w:val="center"/>
            <w:hideMark/>
          </w:tcPr>
          <w:p w14:paraId="500ECFF0" w14:textId="4EC024C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429,000</w:t>
            </w:r>
          </w:p>
        </w:tc>
        <w:tc>
          <w:tcPr>
            <w:tcW w:w="619" w:type="pct"/>
            <w:shd w:val="clear" w:color="000000" w:fill="95B3D7"/>
            <w:vAlign w:val="center"/>
            <w:hideMark/>
          </w:tcPr>
          <w:p w14:paraId="634C000E" w14:textId="353F373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429,000</w:t>
            </w:r>
          </w:p>
        </w:tc>
      </w:tr>
      <w:tr w:rsidR="00D61677" w:rsidRPr="003B7009" w14:paraId="20AC1EE6" w14:textId="77777777" w:rsidTr="00D61677">
        <w:trPr>
          <w:trHeight w:val="20"/>
        </w:trPr>
        <w:tc>
          <w:tcPr>
            <w:tcW w:w="1289" w:type="pct"/>
            <w:shd w:val="clear" w:color="000000" w:fill="95B3D7"/>
            <w:vAlign w:val="center"/>
            <w:hideMark/>
          </w:tcPr>
          <w:p w14:paraId="3B21F52A"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8.3 PD: Capital Properties (Kabul) Directorate</w:t>
            </w:r>
          </w:p>
        </w:tc>
        <w:tc>
          <w:tcPr>
            <w:tcW w:w="618" w:type="pct"/>
            <w:shd w:val="clear" w:color="000000" w:fill="95B3D7"/>
            <w:vAlign w:val="center"/>
            <w:hideMark/>
          </w:tcPr>
          <w:p w14:paraId="20C72CFE" w14:textId="264755C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415D2DC" w14:textId="44BD77C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182,500</w:t>
            </w:r>
          </w:p>
        </w:tc>
        <w:tc>
          <w:tcPr>
            <w:tcW w:w="619" w:type="pct"/>
            <w:shd w:val="clear" w:color="000000" w:fill="95B3D7"/>
            <w:vAlign w:val="center"/>
            <w:hideMark/>
          </w:tcPr>
          <w:p w14:paraId="2446F972" w14:textId="1883ACF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211,700</w:t>
            </w:r>
          </w:p>
        </w:tc>
        <w:tc>
          <w:tcPr>
            <w:tcW w:w="618" w:type="pct"/>
            <w:shd w:val="clear" w:color="000000" w:fill="95B3D7"/>
            <w:vAlign w:val="center"/>
            <w:hideMark/>
          </w:tcPr>
          <w:p w14:paraId="51DC54BE" w14:textId="7C9E9AA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7,300</w:t>
            </w:r>
          </w:p>
        </w:tc>
        <w:tc>
          <w:tcPr>
            <w:tcW w:w="618" w:type="pct"/>
            <w:shd w:val="clear" w:color="000000" w:fill="95B3D7"/>
            <w:vAlign w:val="center"/>
            <w:hideMark/>
          </w:tcPr>
          <w:p w14:paraId="0CABDE0F" w14:textId="32F2AB7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401,500</w:t>
            </w:r>
          </w:p>
        </w:tc>
        <w:tc>
          <w:tcPr>
            <w:tcW w:w="619" w:type="pct"/>
            <w:shd w:val="clear" w:color="000000" w:fill="95B3D7"/>
            <w:vAlign w:val="center"/>
            <w:hideMark/>
          </w:tcPr>
          <w:p w14:paraId="3872A18B" w14:textId="06A1D3E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401,500</w:t>
            </w:r>
          </w:p>
        </w:tc>
      </w:tr>
      <w:tr w:rsidR="00D61677" w:rsidRPr="003B7009" w14:paraId="6D8B9338" w14:textId="77777777" w:rsidTr="00D61677">
        <w:trPr>
          <w:trHeight w:val="20"/>
        </w:trPr>
        <w:tc>
          <w:tcPr>
            <w:tcW w:w="1289" w:type="pct"/>
            <w:shd w:val="clear" w:color="auto" w:fill="auto"/>
            <w:vAlign w:val="center"/>
            <w:hideMark/>
          </w:tcPr>
          <w:p w14:paraId="062A2963"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1A82678D" w14:textId="094B1877"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17CB42A0" w14:textId="20F65504"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6BC7A2A7" w14:textId="25282E61"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64B7D927" w14:textId="1188145C"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7C128A00" w14:textId="3FDD55E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6E452439" w14:textId="29351E51" w:rsidR="003B7009" w:rsidRPr="003B7009" w:rsidRDefault="003B7009" w:rsidP="00D61677">
            <w:pPr>
              <w:jc w:val="right"/>
              <w:rPr>
                <w:rFonts w:asciiTheme="minorHAnsi" w:hAnsiTheme="minorHAnsi"/>
                <w:sz w:val="16"/>
                <w:szCs w:val="16"/>
              </w:rPr>
            </w:pPr>
          </w:p>
        </w:tc>
      </w:tr>
      <w:tr w:rsidR="00D61677" w:rsidRPr="003B7009" w14:paraId="0477B194" w14:textId="77777777" w:rsidTr="00D61677">
        <w:trPr>
          <w:trHeight w:val="20"/>
        </w:trPr>
        <w:tc>
          <w:tcPr>
            <w:tcW w:w="1289" w:type="pct"/>
            <w:shd w:val="clear" w:color="000000" w:fill="4F81BD"/>
            <w:vAlign w:val="center"/>
            <w:hideMark/>
          </w:tcPr>
          <w:p w14:paraId="1E9BB692"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9.0 Human Resources Department</w:t>
            </w:r>
          </w:p>
        </w:tc>
        <w:tc>
          <w:tcPr>
            <w:tcW w:w="618" w:type="pct"/>
            <w:shd w:val="clear" w:color="000000" w:fill="4F81BD"/>
            <w:vAlign w:val="center"/>
            <w:hideMark/>
          </w:tcPr>
          <w:p w14:paraId="56B7AFD1" w14:textId="2291548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1,000,000</w:t>
            </w:r>
          </w:p>
        </w:tc>
        <w:tc>
          <w:tcPr>
            <w:tcW w:w="618" w:type="pct"/>
            <w:shd w:val="clear" w:color="000000" w:fill="4F81BD"/>
            <w:vAlign w:val="center"/>
            <w:hideMark/>
          </w:tcPr>
          <w:p w14:paraId="5FE0C847" w14:textId="5BBF6B6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133,333</w:t>
            </w:r>
          </w:p>
        </w:tc>
        <w:tc>
          <w:tcPr>
            <w:tcW w:w="619" w:type="pct"/>
            <w:shd w:val="clear" w:color="000000" w:fill="4F81BD"/>
            <w:vAlign w:val="center"/>
            <w:hideMark/>
          </w:tcPr>
          <w:p w14:paraId="4D704673" w14:textId="0511C5C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2,154,667</w:t>
            </w:r>
          </w:p>
        </w:tc>
        <w:tc>
          <w:tcPr>
            <w:tcW w:w="618" w:type="pct"/>
            <w:shd w:val="clear" w:color="000000" w:fill="4F81BD"/>
            <w:vAlign w:val="center"/>
            <w:hideMark/>
          </w:tcPr>
          <w:p w14:paraId="674B90E0" w14:textId="6A4B52C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5,333</w:t>
            </w:r>
          </w:p>
        </w:tc>
        <w:tc>
          <w:tcPr>
            <w:tcW w:w="618" w:type="pct"/>
            <w:shd w:val="clear" w:color="000000" w:fill="4F81BD"/>
            <w:vAlign w:val="center"/>
            <w:hideMark/>
          </w:tcPr>
          <w:p w14:paraId="5901DF2E" w14:textId="797B2E3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3,293,333</w:t>
            </w:r>
          </w:p>
        </w:tc>
        <w:tc>
          <w:tcPr>
            <w:tcW w:w="619" w:type="pct"/>
            <w:shd w:val="clear" w:color="000000" w:fill="4F81BD"/>
            <w:vAlign w:val="center"/>
            <w:hideMark/>
          </w:tcPr>
          <w:p w14:paraId="37DBC094" w14:textId="3F4830D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293,333</w:t>
            </w:r>
          </w:p>
        </w:tc>
      </w:tr>
      <w:tr w:rsidR="00D61677" w:rsidRPr="003B7009" w14:paraId="4BFC0FA8" w14:textId="77777777" w:rsidTr="00D61677">
        <w:trPr>
          <w:trHeight w:val="20"/>
        </w:trPr>
        <w:tc>
          <w:tcPr>
            <w:tcW w:w="1289" w:type="pct"/>
            <w:shd w:val="clear" w:color="000000" w:fill="95B3D7"/>
            <w:vAlign w:val="center"/>
            <w:hideMark/>
          </w:tcPr>
          <w:p w14:paraId="7EE43D00"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9.1 HRD: Training &amp; Development</w:t>
            </w:r>
          </w:p>
        </w:tc>
        <w:tc>
          <w:tcPr>
            <w:tcW w:w="618" w:type="pct"/>
            <w:shd w:val="clear" w:color="000000" w:fill="95B3D7"/>
            <w:vAlign w:val="center"/>
            <w:hideMark/>
          </w:tcPr>
          <w:p w14:paraId="150518B9" w14:textId="2D879E2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7F921E16" w14:textId="3F94ED2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66,667</w:t>
            </w:r>
          </w:p>
        </w:tc>
        <w:tc>
          <w:tcPr>
            <w:tcW w:w="619" w:type="pct"/>
            <w:shd w:val="clear" w:color="000000" w:fill="95B3D7"/>
            <w:vAlign w:val="center"/>
            <w:hideMark/>
          </w:tcPr>
          <w:p w14:paraId="23992AA1" w14:textId="3154D28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2,077,333</w:t>
            </w:r>
          </w:p>
        </w:tc>
        <w:tc>
          <w:tcPr>
            <w:tcW w:w="618" w:type="pct"/>
            <w:shd w:val="clear" w:color="000000" w:fill="95B3D7"/>
            <w:vAlign w:val="center"/>
            <w:hideMark/>
          </w:tcPr>
          <w:p w14:paraId="4605270C" w14:textId="59A4FED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2,667</w:t>
            </w:r>
          </w:p>
        </w:tc>
        <w:tc>
          <w:tcPr>
            <w:tcW w:w="618" w:type="pct"/>
            <w:shd w:val="clear" w:color="000000" w:fill="95B3D7"/>
            <w:vAlign w:val="center"/>
            <w:hideMark/>
          </w:tcPr>
          <w:p w14:paraId="4EB7D8EA" w14:textId="0520490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2,146,667</w:t>
            </w:r>
          </w:p>
        </w:tc>
        <w:tc>
          <w:tcPr>
            <w:tcW w:w="619" w:type="pct"/>
            <w:shd w:val="clear" w:color="000000" w:fill="95B3D7"/>
            <w:vAlign w:val="center"/>
            <w:hideMark/>
          </w:tcPr>
          <w:p w14:paraId="7E0975E0" w14:textId="7473E74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146,667</w:t>
            </w:r>
          </w:p>
        </w:tc>
      </w:tr>
      <w:tr w:rsidR="00D61677" w:rsidRPr="003B7009" w14:paraId="128C5FC7" w14:textId="77777777" w:rsidTr="00D61677">
        <w:trPr>
          <w:trHeight w:val="20"/>
        </w:trPr>
        <w:tc>
          <w:tcPr>
            <w:tcW w:w="1289" w:type="pct"/>
            <w:shd w:val="clear" w:color="000000" w:fill="95B3D7"/>
            <w:vAlign w:val="center"/>
            <w:hideMark/>
          </w:tcPr>
          <w:p w14:paraId="1FF16E7C"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9.2 HRD: Recruitment Development</w:t>
            </w:r>
          </w:p>
        </w:tc>
        <w:tc>
          <w:tcPr>
            <w:tcW w:w="618" w:type="pct"/>
            <w:shd w:val="clear" w:color="000000" w:fill="95B3D7"/>
            <w:vAlign w:val="center"/>
            <w:hideMark/>
          </w:tcPr>
          <w:p w14:paraId="0C284558" w14:textId="47478BC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7FF90094" w14:textId="63A1FA1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20,833</w:t>
            </w:r>
          </w:p>
        </w:tc>
        <w:tc>
          <w:tcPr>
            <w:tcW w:w="619" w:type="pct"/>
            <w:shd w:val="clear" w:color="000000" w:fill="95B3D7"/>
            <w:vAlign w:val="center"/>
            <w:hideMark/>
          </w:tcPr>
          <w:p w14:paraId="0E983623" w14:textId="591450B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24,167</w:t>
            </w:r>
          </w:p>
        </w:tc>
        <w:tc>
          <w:tcPr>
            <w:tcW w:w="618" w:type="pct"/>
            <w:shd w:val="clear" w:color="000000" w:fill="95B3D7"/>
            <w:vAlign w:val="center"/>
            <w:hideMark/>
          </w:tcPr>
          <w:p w14:paraId="0061A6AC" w14:textId="6F2D011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833</w:t>
            </w:r>
          </w:p>
        </w:tc>
        <w:tc>
          <w:tcPr>
            <w:tcW w:w="618" w:type="pct"/>
            <w:shd w:val="clear" w:color="000000" w:fill="95B3D7"/>
            <w:vAlign w:val="center"/>
            <w:hideMark/>
          </w:tcPr>
          <w:p w14:paraId="3D43D2AD" w14:textId="3BE166A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45,833</w:t>
            </w:r>
          </w:p>
        </w:tc>
        <w:tc>
          <w:tcPr>
            <w:tcW w:w="619" w:type="pct"/>
            <w:shd w:val="clear" w:color="000000" w:fill="95B3D7"/>
            <w:vAlign w:val="center"/>
            <w:hideMark/>
          </w:tcPr>
          <w:p w14:paraId="6DF6078B" w14:textId="6445594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45,833</w:t>
            </w:r>
          </w:p>
        </w:tc>
      </w:tr>
      <w:tr w:rsidR="00D61677" w:rsidRPr="003B7009" w14:paraId="13A9E1CD" w14:textId="77777777" w:rsidTr="00D61677">
        <w:trPr>
          <w:trHeight w:val="20"/>
        </w:trPr>
        <w:tc>
          <w:tcPr>
            <w:tcW w:w="1289" w:type="pct"/>
            <w:shd w:val="clear" w:color="000000" w:fill="95B3D7"/>
            <w:vAlign w:val="center"/>
            <w:hideMark/>
          </w:tcPr>
          <w:p w14:paraId="2E430792"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9.3 HRD: Organizational Development</w:t>
            </w:r>
          </w:p>
        </w:tc>
        <w:tc>
          <w:tcPr>
            <w:tcW w:w="618" w:type="pct"/>
            <w:shd w:val="clear" w:color="000000" w:fill="95B3D7"/>
            <w:vAlign w:val="center"/>
            <w:hideMark/>
          </w:tcPr>
          <w:p w14:paraId="5C86414E" w14:textId="2E587D9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584424D" w14:textId="0E33BCC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16,667</w:t>
            </w:r>
          </w:p>
        </w:tc>
        <w:tc>
          <w:tcPr>
            <w:tcW w:w="619" w:type="pct"/>
            <w:shd w:val="clear" w:color="000000" w:fill="95B3D7"/>
            <w:vAlign w:val="center"/>
            <w:hideMark/>
          </w:tcPr>
          <w:p w14:paraId="5DF04C34" w14:textId="4D5CB96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19,333</w:t>
            </w:r>
          </w:p>
        </w:tc>
        <w:tc>
          <w:tcPr>
            <w:tcW w:w="618" w:type="pct"/>
            <w:shd w:val="clear" w:color="000000" w:fill="95B3D7"/>
            <w:vAlign w:val="center"/>
            <w:hideMark/>
          </w:tcPr>
          <w:p w14:paraId="66A844A0" w14:textId="7A9D3D4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667</w:t>
            </w:r>
          </w:p>
        </w:tc>
        <w:tc>
          <w:tcPr>
            <w:tcW w:w="618" w:type="pct"/>
            <w:shd w:val="clear" w:color="000000" w:fill="95B3D7"/>
            <w:vAlign w:val="center"/>
            <w:hideMark/>
          </w:tcPr>
          <w:p w14:paraId="605D90E1" w14:textId="697D995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36,667</w:t>
            </w:r>
          </w:p>
        </w:tc>
        <w:tc>
          <w:tcPr>
            <w:tcW w:w="619" w:type="pct"/>
            <w:shd w:val="clear" w:color="000000" w:fill="95B3D7"/>
            <w:vAlign w:val="center"/>
            <w:hideMark/>
          </w:tcPr>
          <w:p w14:paraId="008BF104" w14:textId="3DF8DC5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36,667</w:t>
            </w:r>
          </w:p>
        </w:tc>
      </w:tr>
      <w:tr w:rsidR="00D61677" w:rsidRPr="003B7009" w14:paraId="20BFFCC8" w14:textId="77777777" w:rsidTr="00D61677">
        <w:trPr>
          <w:trHeight w:val="20"/>
        </w:trPr>
        <w:tc>
          <w:tcPr>
            <w:tcW w:w="1289" w:type="pct"/>
            <w:shd w:val="clear" w:color="000000" w:fill="95B3D7"/>
            <w:vAlign w:val="center"/>
            <w:hideMark/>
          </w:tcPr>
          <w:p w14:paraId="7748238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9.4 HRD: Performance Appraisal &amp; Record Keeping</w:t>
            </w:r>
          </w:p>
        </w:tc>
        <w:tc>
          <w:tcPr>
            <w:tcW w:w="618" w:type="pct"/>
            <w:shd w:val="clear" w:color="000000" w:fill="95B3D7"/>
            <w:vAlign w:val="center"/>
            <w:hideMark/>
          </w:tcPr>
          <w:p w14:paraId="2588D8C4" w14:textId="3F760AB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1,000,000</w:t>
            </w:r>
          </w:p>
        </w:tc>
        <w:tc>
          <w:tcPr>
            <w:tcW w:w="618" w:type="pct"/>
            <w:shd w:val="clear" w:color="000000" w:fill="95B3D7"/>
            <w:vAlign w:val="center"/>
            <w:hideMark/>
          </w:tcPr>
          <w:p w14:paraId="0DF08EBA" w14:textId="70F8795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16,667</w:t>
            </w:r>
          </w:p>
        </w:tc>
        <w:tc>
          <w:tcPr>
            <w:tcW w:w="619" w:type="pct"/>
            <w:shd w:val="clear" w:color="000000" w:fill="95B3D7"/>
            <w:vAlign w:val="center"/>
            <w:hideMark/>
          </w:tcPr>
          <w:p w14:paraId="60A03FE6" w14:textId="312B32B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19,333</w:t>
            </w:r>
          </w:p>
        </w:tc>
        <w:tc>
          <w:tcPr>
            <w:tcW w:w="618" w:type="pct"/>
            <w:shd w:val="clear" w:color="000000" w:fill="95B3D7"/>
            <w:vAlign w:val="center"/>
            <w:hideMark/>
          </w:tcPr>
          <w:p w14:paraId="7EC03B95" w14:textId="54F99D1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667</w:t>
            </w:r>
          </w:p>
        </w:tc>
        <w:tc>
          <w:tcPr>
            <w:tcW w:w="618" w:type="pct"/>
            <w:shd w:val="clear" w:color="000000" w:fill="95B3D7"/>
            <w:vAlign w:val="center"/>
            <w:hideMark/>
          </w:tcPr>
          <w:p w14:paraId="2FBACBF3" w14:textId="714E397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1,036,667</w:t>
            </w:r>
          </w:p>
        </w:tc>
        <w:tc>
          <w:tcPr>
            <w:tcW w:w="619" w:type="pct"/>
            <w:shd w:val="clear" w:color="000000" w:fill="95B3D7"/>
            <w:vAlign w:val="center"/>
            <w:hideMark/>
          </w:tcPr>
          <w:p w14:paraId="2C2EF6D4" w14:textId="1CD181C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36,667</w:t>
            </w:r>
          </w:p>
        </w:tc>
      </w:tr>
      <w:tr w:rsidR="00D61677" w:rsidRPr="003B7009" w14:paraId="51893347" w14:textId="77777777" w:rsidTr="00D61677">
        <w:trPr>
          <w:trHeight w:val="20"/>
        </w:trPr>
        <w:tc>
          <w:tcPr>
            <w:tcW w:w="1289" w:type="pct"/>
            <w:shd w:val="clear" w:color="000000" w:fill="95B3D7"/>
            <w:vAlign w:val="center"/>
            <w:hideMark/>
          </w:tcPr>
          <w:p w14:paraId="00514F5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9.5 HRD: Employee Relations</w:t>
            </w:r>
          </w:p>
        </w:tc>
        <w:tc>
          <w:tcPr>
            <w:tcW w:w="618" w:type="pct"/>
            <w:shd w:val="clear" w:color="000000" w:fill="95B3D7"/>
            <w:vAlign w:val="center"/>
            <w:hideMark/>
          </w:tcPr>
          <w:p w14:paraId="4A5E59EF" w14:textId="5DACB51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0ACF3AE" w14:textId="0263712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12,500</w:t>
            </w:r>
          </w:p>
        </w:tc>
        <w:tc>
          <w:tcPr>
            <w:tcW w:w="619" w:type="pct"/>
            <w:shd w:val="clear" w:color="000000" w:fill="95B3D7"/>
            <w:vAlign w:val="center"/>
            <w:hideMark/>
          </w:tcPr>
          <w:p w14:paraId="260D1183" w14:textId="059D685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14,500</w:t>
            </w:r>
          </w:p>
        </w:tc>
        <w:tc>
          <w:tcPr>
            <w:tcW w:w="618" w:type="pct"/>
            <w:shd w:val="clear" w:color="000000" w:fill="95B3D7"/>
            <w:vAlign w:val="center"/>
            <w:hideMark/>
          </w:tcPr>
          <w:p w14:paraId="5E658403" w14:textId="1522E98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w:t>
            </w:r>
          </w:p>
        </w:tc>
        <w:tc>
          <w:tcPr>
            <w:tcW w:w="618" w:type="pct"/>
            <w:shd w:val="clear" w:color="000000" w:fill="95B3D7"/>
            <w:vAlign w:val="center"/>
            <w:hideMark/>
          </w:tcPr>
          <w:p w14:paraId="7786547B" w14:textId="318B75A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w:t>
            </w:r>
          </w:p>
        </w:tc>
        <w:tc>
          <w:tcPr>
            <w:tcW w:w="619" w:type="pct"/>
            <w:shd w:val="clear" w:color="000000" w:fill="95B3D7"/>
            <w:vAlign w:val="center"/>
            <w:hideMark/>
          </w:tcPr>
          <w:p w14:paraId="7763FA60" w14:textId="3D61EAD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w:t>
            </w:r>
          </w:p>
        </w:tc>
      </w:tr>
      <w:tr w:rsidR="00D61677" w:rsidRPr="003B7009" w14:paraId="5C6C333E" w14:textId="77777777" w:rsidTr="00D61677">
        <w:trPr>
          <w:trHeight w:val="20"/>
        </w:trPr>
        <w:tc>
          <w:tcPr>
            <w:tcW w:w="1289" w:type="pct"/>
            <w:shd w:val="clear" w:color="auto" w:fill="auto"/>
            <w:vAlign w:val="center"/>
            <w:hideMark/>
          </w:tcPr>
          <w:p w14:paraId="1781151E"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4E13F012" w14:textId="707AB336"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6DEDCA03" w14:textId="2E3A038C"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566BCF5F" w14:textId="02A6DF1D"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00FF5A24" w14:textId="56CA196D"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F31B666" w14:textId="4C5D344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112F3E0D" w14:textId="2EAB179B" w:rsidR="003B7009" w:rsidRPr="003B7009" w:rsidRDefault="003B7009" w:rsidP="00D61677">
            <w:pPr>
              <w:jc w:val="right"/>
              <w:rPr>
                <w:rFonts w:asciiTheme="minorHAnsi" w:hAnsiTheme="minorHAnsi"/>
                <w:sz w:val="16"/>
                <w:szCs w:val="16"/>
              </w:rPr>
            </w:pPr>
          </w:p>
        </w:tc>
      </w:tr>
      <w:tr w:rsidR="00D61677" w:rsidRPr="003B7009" w14:paraId="5037D95D" w14:textId="77777777" w:rsidTr="00D61677">
        <w:trPr>
          <w:trHeight w:val="20"/>
        </w:trPr>
        <w:tc>
          <w:tcPr>
            <w:tcW w:w="1289" w:type="pct"/>
            <w:shd w:val="clear" w:color="000000" w:fill="4F81BD"/>
            <w:vAlign w:val="center"/>
            <w:hideMark/>
          </w:tcPr>
          <w:p w14:paraId="3DF6A60B"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10.0 Insurance Department</w:t>
            </w:r>
          </w:p>
        </w:tc>
        <w:tc>
          <w:tcPr>
            <w:tcW w:w="618" w:type="pct"/>
            <w:shd w:val="clear" w:color="000000" w:fill="4F81BD"/>
            <w:vAlign w:val="center"/>
            <w:hideMark/>
          </w:tcPr>
          <w:p w14:paraId="3A4CC9A4" w14:textId="5E3578D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2EE063A8" w14:textId="0694F88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110,417</w:t>
            </w:r>
          </w:p>
        </w:tc>
        <w:tc>
          <w:tcPr>
            <w:tcW w:w="619" w:type="pct"/>
            <w:shd w:val="clear" w:color="000000" w:fill="4F81BD"/>
            <w:vAlign w:val="center"/>
            <w:hideMark/>
          </w:tcPr>
          <w:p w14:paraId="715BFE04" w14:textId="3CBF515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128,083</w:t>
            </w:r>
          </w:p>
        </w:tc>
        <w:tc>
          <w:tcPr>
            <w:tcW w:w="618" w:type="pct"/>
            <w:shd w:val="clear" w:color="000000" w:fill="4F81BD"/>
            <w:vAlign w:val="center"/>
            <w:hideMark/>
          </w:tcPr>
          <w:p w14:paraId="712CE56C" w14:textId="5D11B49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4,417</w:t>
            </w:r>
          </w:p>
        </w:tc>
        <w:tc>
          <w:tcPr>
            <w:tcW w:w="618" w:type="pct"/>
            <w:shd w:val="clear" w:color="000000" w:fill="4F81BD"/>
            <w:vAlign w:val="center"/>
            <w:hideMark/>
          </w:tcPr>
          <w:p w14:paraId="626A57BE" w14:textId="65F9208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242,917</w:t>
            </w:r>
          </w:p>
        </w:tc>
        <w:tc>
          <w:tcPr>
            <w:tcW w:w="619" w:type="pct"/>
            <w:shd w:val="clear" w:color="000000" w:fill="4F81BD"/>
            <w:vAlign w:val="center"/>
            <w:hideMark/>
          </w:tcPr>
          <w:p w14:paraId="24B50970" w14:textId="273C923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242,917</w:t>
            </w:r>
          </w:p>
        </w:tc>
      </w:tr>
      <w:tr w:rsidR="00D61677" w:rsidRPr="003B7009" w14:paraId="66E6A09C" w14:textId="77777777" w:rsidTr="00D61677">
        <w:trPr>
          <w:trHeight w:val="20"/>
        </w:trPr>
        <w:tc>
          <w:tcPr>
            <w:tcW w:w="1289" w:type="pct"/>
            <w:shd w:val="clear" w:color="000000" w:fill="95B3D7"/>
            <w:vAlign w:val="center"/>
            <w:hideMark/>
          </w:tcPr>
          <w:p w14:paraId="099AB02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10.1 ID: Insurance Affairs</w:t>
            </w:r>
          </w:p>
        </w:tc>
        <w:tc>
          <w:tcPr>
            <w:tcW w:w="618" w:type="pct"/>
            <w:shd w:val="clear" w:color="000000" w:fill="95B3D7"/>
            <w:vAlign w:val="center"/>
            <w:hideMark/>
          </w:tcPr>
          <w:p w14:paraId="0E64D38A" w14:textId="25DB517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D1402EA" w14:textId="3545362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110,417</w:t>
            </w:r>
          </w:p>
        </w:tc>
        <w:tc>
          <w:tcPr>
            <w:tcW w:w="619" w:type="pct"/>
            <w:shd w:val="clear" w:color="000000" w:fill="95B3D7"/>
            <w:vAlign w:val="center"/>
            <w:hideMark/>
          </w:tcPr>
          <w:p w14:paraId="13C0A42D" w14:textId="48C4797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128,083</w:t>
            </w:r>
          </w:p>
        </w:tc>
        <w:tc>
          <w:tcPr>
            <w:tcW w:w="618" w:type="pct"/>
            <w:shd w:val="clear" w:color="000000" w:fill="95B3D7"/>
            <w:vAlign w:val="center"/>
            <w:hideMark/>
          </w:tcPr>
          <w:p w14:paraId="60670BAB" w14:textId="6029072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4,417</w:t>
            </w:r>
          </w:p>
        </w:tc>
        <w:tc>
          <w:tcPr>
            <w:tcW w:w="618" w:type="pct"/>
            <w:shd w:val="clear" w:color="000000" w:fill="95B3D7"/>
            <w:vAlign w:val="center"/>
            <w:hideMark/>
          </w:tcPr>
          <w:p w14:paraId="6C37773C" w14:textId="260EE20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242,917</w:t>
            </w:r>
          </w:p>
        </w:tc>
        <w:tc>
          <w:tcPr>
            <w:tcW w:w="619" w:type="pct"/>
            <w:shd w:val="clear" w:color="000000" w:fill="95B3D7"/>
            <w:vAlign w:val="center"/>
            <w:hideMark/>
          </w:tcPr>
          <w:p w14:paraId="26E62A04" w14:textId="6D99143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242,917</w:t>
            </w:r>
          </w:p>
        </w:tc>
      </w:tr>
      <w:tr w:rsidR="00D61677" w:rsidRPr="003B7009" w14:paraId="2951A0AC" w14:textId="77777777" w:rsidTr="00D61677">
        <w:trPr>
          <w:trHeight w:val="20"/>
        </w:trPr>
        <w:tc>
          <w:tcPr>
            <w:tcW w:w="1289" w:type="pct"/>
            <w:shd w:val="clear" w:color="auto" w:fill="auto"/>
            <w:vAlign w:val="center"/>
            <w:hideMark/>
          </w:tcPr>
          <w:p w14:paraId="38AC739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4ADC19F0" w14:textId="24A88155"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78DBE619" w14:textId="6F765226"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27174C16" w14:textId="293A6575"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43CEBD56" w14:textId="4052F17A"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6D4261CF" w14:textId="4DC0275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26AF2CAD" w14:textId="5FB1172E" w:rsidR="003B7009" w:rsidRPr="003B7009" w:rsidRDefault="003B7009" w:rsidP="00D61677">
            <w:pPr>
              <w:jc w:val="right"/>
              <w:rPr>
                <w:rFonts w:asciiTheme="minorHAnsi" w:hAnsiTheme="minorHAnsi"/>
                <w:sz w:val="16"/>
                <w:szCs w:val="16"/>
              </w:rPr>
            </w:pPr>
          </w:p>
        </w:tc>
      </w:tr>
      <w:tr w:rsidR="00D61677" w:rsidRPr="003B7009" w14:paraId="312B2CE6" w14:textId="77777777" w:rsidTr="00D61677">
        <w:trPr>
          <w:trHeight w:val="20"/>
        </w:trPr>
        <w:tc>
          <w:tcPr>
            <w:tcW w:w="1289" w:type="pct"/>
            <w:shd w:val="clear" w:color="000000" w:fill="4F81BD"/>
            <w:vAlign w:val="center"/>
            <w:hideMark/>
          </w:tcPr>
          <w:p w14:paraId="3B8DA653"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11.0 Internal Audit Department</w:t>
            </w:r>
          </w:p>
        </w:tc>
        <w:tc>
          <w:tcPr>
            <w:tcW w:w="618" w:type="pct"/>
            <w:shd w:val="clear" w:color="000000" w:fill="4F81BD"/>
            <w:vAlign w:val="center"/>
            <w:hideMark/>
          </w:tcPr>
          <w:p w14:paraId="44328EB3" w14:textId="2D86542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62994CFB" w14:textId="27B1A3E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831,250</w:t>
            </w:r>
          </w:p>
        </w:tc>
        <w:tc>
          <w:tcPr>
            <w:tcW w:w="619" w:type="pct"/>
            <w:shd w:val="clear" w:color="000000" w:fill="4F81BD"/>
            <w:vAlign w:val="center"/>
            <w:hideMark/>
          </w:tcPr>
          <w:p w14:paraId="2E2B1EDD" w14:textId="59D9327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964,250</w:t>
            </w:r>
          </w:p>
        </w:tc>
        <w:tc>
          <w:tcPr>
            <w:tcW w:w="618" w:type="pct"/>
            <w:shd w:val="clear" w:color="000000" w:fill="4F81BD"/>
            <w:vAlign w:val="center"/>
            <w:hideMark/>
          </w:tcPr>
          <w:p w14:paraId="474BCA6B" w14:textId="0A90D3F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33,250</w:t>
            </w:r>
          </w:p>
        </w:tc>
        <w:tc>
          <w:tcPr>
            <w:tcW w:w="618" w:type="pct"/>
            <w:shd w:val="clear" w:color="000000" w:fill="4F81BD"/>
            <w:vAlign w:val="center"/>
            <w:hideMark/>
          </w:tcPr>
          <w:p w14:paraId="41A1454F" w14:textId="3715E5F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1,828,750</w:t>
            </w:r>
          </w:p>
        </w:tc>
        <w:tc>
          <w:tcPr>
            <w:tcW w:w="619" w:type="pct"/>
            <w:shd w:val="clear" w:color="000000" w:fill="4F81BD"/>
            <w:vAlign w:val="center"/>
            <w:hideMark/>
          </w:tcPr>
          <w:p w14:paraId="62ECCAC1" w14:textId="5AAE36C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1,828,750</w:t>
            </w:r>
          </w:p>
        </w:tc>
      </w:tr>
      <w:tr w:rsidR="00D61677" w:rsidRPr="003B7009" w14:paraId="7BAC03AE" w14:textId="77777777" w:rsidTr="00D61677">
        <w:trPr>
          <w:trHeight w:val="20"/>
        </w:trPr>
        <w:tc>
          <w:tcPr>
            <w:tcW w:w="1289" w:type="pct"/>
            <w:shd w:val="clear" w:color="000000" w:fill="95B3D7"/>
            <w:vAlign w:val="center"/>
            <w:hideMark/>
          </w:tcPr>
          <w:p w14:paraId="606644C6"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11.1 IAD: Office of the DG</w:t>
            </w:r>
          </w:p>
        </w:tc>
        <w:tc>
          <w:tcPr>
            <w:tcW w:w="618" w:type="pct"/>
            <w:shd w:val="clear" w:color="000000" w:fill="95B3D7"/>
            <w:vAlign w:val="center"/>
            <w:hideMark/>
          </w:tcPr>
          <w:p w14:paraId="4E695C3C" w14:textId="03280D0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3B0450C0" w14:textId="2A68651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387,500</w:t>
            </w:r>
          </w:p>
        </w:tc>
        <w:tc>
          <w:tcPr>
            <w:tcW w:w="619" w:type="pct"/>
            <w:shd w:val="clear" w:color="000000" w:fill="95B3D7"/>
            <w:vAlign w:val="center"/>
            <w:hideMark/>
          </w:tcPr>
          <w:p w14:paraId="2F9A9F42" w14:textId="37AD672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449,500</w:t>
            </w:r>
          </w:p>
        </w:tc>
        <w:tc>
          <w:tcPr>
            <w:tcW w:w="618" w:type="pct"/>
            <w:shd w:val="clear" w:color="000000" w:fill="95B3D7"/>
            <w:vAlign w:val="center"/>
            <w:hideMark/>
          </w:tcPr>
          <w:p w14:paraId="59DC61B8" w14:textId="6F75779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15,500</w:t>
            </w:r>
          </w:p>
        </w:tc>
        <w:tc>
          <w:tcPr>
            <w:tcW w:w="618" w:type="pct"/>
            <w:shd w:val="clear" w:color="000000" w:fill="95B3D7"/>
            <w:vAlign w:val="center"/>
            <w:hideMark/>
          </w:tcPr>
          <w:p w14:paraId="769DB944" w14:textId="214D398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852,500</w:t>
            </w:r>
          </w:p>
        </w:tc>
        <w:tc>
          <w:tcPr>
            <w:tcW w:w="619" w:type="pct"/>
            <w:shd w:val="clear" w:color="000000" w:fill="95B3D7"/>
            <w:vAlign w:val="center"/>
            <w:hideMark/>
          </w:tcPr>
          <w:p w14:paraId="1BD95559" w14:textId="04CD21C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852,500</w:t>
            </w:r>
          </w:p>
        </w:tc>
      </w:tr>
      <w:tr w:rsidR="00D61677" w:rsidRPr="003B7009" w14:paraId="04E29DCD" w14:textId="77777777" w:rsidTr="00D61677">
        <w:trPr>
          <w:trHeight w:val="20"/>
        </w:trPr>
        <w:tc>
          <w:tcPr>
            <w:tcW w:w="1289" w:type="pct"/>
            <w:shd w:val="clear" w:color="000000" w:fill="95B3D7"/>
            <w:vAlign w:val="center"/>
            <w:hideMark/>
          </w:tcPr>
          <w:p w14:paraId="11162DF0"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11.2 IAD: Compliance and IT Audit and Fraud Investigation</w:t>
            </w:r>
          </w:p>
        </w:tc>
        <w:tc>
          <w:tcPr>
            <w:tcW w:w="618" w:type="pct"/>
            <w:shd w:val="clear" w:color="000000" w:fill="95B3D7"/>
            <w:vAlign w:val="center"/>
            <w:hideMark/>
          </w:tcPr>
          <w:p w14:paraId="1AED1041" w14:textId="3E484AE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3954CB5" w14:textId="6E6E58A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162,500</w:t>
            </w:r>
          </w:p>
        </w:tc>
        <w:tc>
          <w:tcPr>
            <w:tcW w:w="619" w:type="pct"/>
            <w:shd w:val="clear" w:color="000000" w:fill="95B3D7"/>
            <w:vAlign w:val="center"/>
            <w:hideMark/>
          </w:tcPr>
          <w:p w14:paraId="61AC6CFB" w14:textId="43BABD3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188,500</w:t>
            </w:r>
          </w:p>
        </w:tc>
        <w:tc>
          <w:tcPr>
            <w:tcW w:w="618" w:type="pct"/>
            <w:shd w:val="clear" w:color="000000" w:fill="95B3D7"/>
            <w:vAlign w:val="center"/>
            <w:hideMark/>
          </w:tcPr>
          <w:p w14:paraId="2EDDBFFD" w14:textId="20AE929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6,500</w:t>
            </w:r>
          </w:p>
        </w:tc>
        <w:tc>
          <w:tcPr>
            <w:tcW w:w="618" w:type="pct"/>
            <w:shd w:val="clear" w:color="000000" w:fill="95B3D7"/>
            <w:vAlign w:val="center"/>
            <w:hideMark/>
          </w:tcPr>
          <w:p w14:paraId="0C1B087B" w14:textId="1D66A17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357,500</w:t>
            </w:r>
          </w:p>
        </w:tc>
        <w:tc>
          <w:tcPr>
            <w:tcW w:w="619" w:type="pct"/>
            <w:shd w:val="clear" w:color="000000" w:fill="95B3D7"/>
            <w:vAlign w:val="center"/>
            <w:hideMark/>
          </w:tcPr>
          <w:p w14:paraId="042119AC" w14:textId="40A90EF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357,500</w:t>
            </w:r>
          </w:p>
        </w:tc>
      </w:tr>
      <w:tr w:rsidR="00D61677" w:rsidRPr="003B7009" w14:paraId="7E85F91A" w14:textId="77777777" w:rsidTr="00D61677">
        <w:trPr>
          <w:trHeight w:val="20"/>
        </w:trPr>
        <w:tc>
          <w:tcPr>
            <w:tcW w:w="1289" w:type="pct"/>
            <w:shd w:val="clear" w:color="000000" w:fill="95B3D7"/>
            <w:vAlign w:val="center"/>
            <w:hideMark/>
          </w:tcPr>
          <w:p w14:paraId="04CC6B70"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11.3 IAD: Budget and Treasury Audit </w:t>
            </w:r>
          </w:p>
        </w:tc>
        <w:tc>
          <w:tcPr>
            <w:tcW w:w="618" w:type="pct"/>
            <w:shd w:val="clear" w:color="000000" w:fill="95B3D7"/>
            <w:vAlign w:val="center"/>
            <w:hideMark/>
          </w:tcPr>
          <w:p w14:paraId="31425060" w14:textId="31257EF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58123E8D" w14:textId="0D9091F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89,583</w:t>
            </w:r>
          </w:p>
        </w:tc>
        <w:tc>
          <w:tcPr>
            <w:tcW w:w="619" w:type="pct"/>
            <w:shd w:val="clear" w:color="000000" w:fill="95B3D7"/>
            <w:vAlign w:val="center"/>
            <w:hideMark/>
          </w:tcPr>
          <w:p w14:paraId="4EF69298" w14:textId="77507E3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103,917</w:t>
            </w:r>
          </w:p>
        </w:tc>
        <w:tc>
          <w:tcPr>
            <w:tcW w:w="618" w:type="pct"/>
            <w:shd w:val="clear" w:color="000000" w:fill="95B3D7"/>
            <w:vAlign w:val="center"/>
            <w:hideMark/>
          </w:tcPr>
          <w:p w14:paraId="6462B638" w14:textId="71679BB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3,583</w:t>
            </w:r>
          </w:p>
        </w:tc>
        <w:tc>
          <w:tcPr>
            <w:tcW w:w="618" w:type="pct"/>
            <w:shd w:val="clear" w:color="000000" w:fill="95B3D7"/>
            <w:vAlign w:val="center"/>
            <w:hideMark/>
          </w:tcPr>
          <w:p w14:paraId="39F57CDA" w14:textId="3327DA6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197,083</w:t>
            </w:r>
          </w:p>
        </w:tc>
        <w:tc>
          <w:tcPr>
            <w:tcW w:w="619" w:type="pct"/>
            <w:shd w:val="clear" w:color="000000" w:fill="95B3D7"/>
            <w:vAlign w:val="center"/>
            <w:hideMark/>
          </w:tcPr>
          <w:p w14:paraId="19C3905D" w14:textId="249CEF0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197,083</w:t>
            </w:r>
          </w:p>
        </w:tc>
      </w:tr>
      <w:tr w:rsidR="00D61677" w:rsidRPr="003B7009" w14:paraId="70296811" w14:textId="77777777" w:rsidTr="00D61677">
        <w:trPr>
          <w:trHeight w:val="20"/>
        </w:trPr>
        <w:tc>
          <w:tcPr>
            <w:tcW w:w="1289" w:type="pct"/>
            <w:shd w:val="clear" w:color="000000" w:fill="95B3D7"/>
            <w:vAlign w:val="center"/>
            <w:hideMark/>
          </w:tcPr>
          <w:p w14:paraId="74B258EC"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11.4 IAD: Customs and Revenue Audit</w:t>
            </w:r>
          </w:p>
        </w:tc>
        <w:tc>
          <w:tcPr>
            <w:tcW w:w="618" w:type="pct"/>
            <w:shd w:val="clear" w:color="000000" w:fill="95B3D7"/>
            <w:vAlign w:val="center"/>
            <w:hideMark/>
          </w:tcPr>
          <w:p w14:paraId="790A46F3" w14:textId="42509B6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A50C3CD" w14:textId="10E3C26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89,583</w:t>
            </w:r>
          </w:p>
        </w:tc>
        <w:tc>
          <w:tcPr>
            <w:tcW w:w="619" w:type="pct"/>
            <w:shd w:val="clear" w:color="000000" w:fill="95B3D7"/>
            <w:vAlign w:val="center"/>
            <w:hideMark/>
          </w:tcPr>
          <w:p w14:paraId="27745C20" w14:textId="18E255E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103,917</w:t>
            </w:r>
          </w:p>
        </w:tc>
        <w:tc>
          <w:tcPr>
            <w:tcW w:w="618" w:type="pct"/>
            <w:shd w:val="clear" w:color="000000" w:fill="95B3D7"/>
            <w:vAlign w:val="center"/>
            <w:hideMark/>
          </w:tcPr>
          <w:p w14:paraId="35FF0A7F" w14:textId="29D5459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3,583</w:t>
            </w:r>
          </w:p>
        </w:tc>
        <w:tc>
          <w:tcPr>
            <w:tcW w:w="618" w:type="pct"/>
            <w:shd w:val="clear" w:color="000000" w:fill="95B3D7"/>
            <w:vAlign w:val="center"/>
            <w:hideMark/>
          </w:tcPr>
          <w:p w14:paraId="14427FEF" w14:textId="376FCA6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197,083</w:t>
            </w:r>
          </w:p>
        </w:tc>
        <w:tc>
          <w:tcPr>
            <w:tcW w:w="619" w:type="pct"/>
            <w:shd w:val="clear" w:color="000000" w:fill="95B3D7"/>
            <w:vAlign w:val="center"/>
            <w:hideMark/>
          </w:tcPr>
          <w:p w14:paraId="5632A67A" w14:textId="448EB7F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197,083</w:t>
            </w:r>
          </w:p>
        </w:tc>
      </w:tr>
      <w:tr w:rsidR="00D61677" w:rsidRPr="003B7009" w14:paraId="61FD8EA0" w14:textId="77777777" w:rsidTr="00D61677">
        <w:trPr>
          <w:trHeight w:val="20"/>
        </w:trPr>
        <w:tc>
          <w:tcPr>
            <w:tcW w:w="1289" w:type="pct"/>
            <w:shd w:val="clear" w:color="000000" w:fill="95B3D7"/>
            <w:vAlign w:val="center"/>
            <w:hideMark/>
          </w:tcPr>
          <w:p w14:paraId="7F8A3488"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11.5 IAD: Budgetary Audit and Capacity Development (line ministries)</w:t>
            </w:r>
          </w:p>
        </w:tc>
        <w:tc>
          <w:tcPr>
            <w:tcW w:w="618" w:type="pct"/>
            <w:shd w:val="clear" w:color="000000" w:fill="95B3D7"/>
            <w:vAlign w:val="center"/>
            <w:hideMark/>
          </w:tcPr>
          <w:p w14:paraId="740E3605" w14:textId="60EB295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603B5E51" w14:textId="7A63DA8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102,083</w:t>
            </w:r>
          </w:p>
        </w:tc>
        <w:tc>
          <w:tcPr>
            <w:tcW w:w="619" w:type="pct"/>
            <w:shd w:val="clear" w:color="000000" w:fill="95B3D7"/>
            <w:vAlign w:val="center"/>
            <w:hideMark/>
          </w:tcPr>
          <w:p w14:paraId="609E370B" w14:textId="4C75737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118,417</w:t>
            </w:r>
          </w:p>
        </w:tc>
        <w:tc>
          <w:tcPr>
            <w:tcW w:w="618" w:type="pct"/>
            <w:shd w:val="clear" w:color="000000" w:fill="95B3D7"/>
            <w:vAlign w:val="center"/>
            <w:hideMark/>
          </w:tcPr>
          <w:p w14:paraId="30B2973C" w14:textId="37AF88F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4,083</w:t>
            </w:r>
          </w:p>
        </w:tc>
        <w:tc>
          <w:tcPr>
            <w:tcW w:w="618" w:type="pct"/>
            <w:shd w:val="clear" w:color="000000" w:fill="95B3D7"/>
            <w:vAlign w:val="center"/>
            <w:hideMark/>
          </w:tcPr>
          <w:p w14:paraId="4E60A466" w14:textId="26D53F8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224,583</w:t>
            </w:r>
          </w:p>
        </w:tc>
        <w:tc>
          <w:tcPr>
            <w:tcW w:w="619" w:type="pct"/>
            <w:shd w:val="clear" w:color="000000" w:fill="95B3D7"/>
            <w:vAlign w:val="center"/>
            <w:hideMark/>
          </w:tcPr>
          <w:p w14:paraId="6C8FC175" w14:textId="669DC75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224,583</w:t>
            </w:r>
          </w:p>
        </w:tc>
      </w:tr>
      <w:tr w:rsidR="00D61677" w:rsidRPr="003B7009" w14:paraId="1498E673" w14:textId="77777777" w:rsidTr="00D61677">
        <w:trPr>
          <w:trHeight w:val="20"/>
        </w:trPr>
        <w:tc>
          <w:tcPr>
            <w:tcW w:w="1289" w:type="pct"/>
            <w:shd w:val="clear" w:color="auto" w:fill="auto"/>
            <w:vAlign w:val="center"/>
            <w:hideMark/>
          </w:tcPr>
          <w:p w14:paraId="57558A55"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07A8C28A" w14:textId="4DF47D3D"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703BCB92" w14:textId="37756EF1"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40FD9D05" w14:textId="2F2DEEF7"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C7DA1C1" w14:textId="1035444A"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AB35A41" w14:textId="24DFDBE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2D9A5418" w14:textId="3B0378D8" w:rsidR="003B7009" w:rsidRPr="003B7009" w:rsidRDefault="003B7009" w:rsidP="00D61677">
            <w:pPr>
              <w:jc w:val="right"/>
              <w:rPr>
                <w:rFonts w:asciiTheme="minorHAnsi" w:hAnsiTheme="minorHAnsi"/>
                <w:sz w:val="16"/>
                <w:szCs w:val="16"/>
              </w:rPr>
            </w:pPr>
          </w:p>
        </w:tc>
      </w:tr>
      <w:tr w:rsidR="00D61677" w:rsidRPr="003B7009" w14:paraId="733EE7B6" w14:textId="77777777" w:rsidTr="00D61677">
        <w:trPr>
          <w:trHeight w:val="20"/>
        </w:trPr>
        <w:tc>
          <w:tcPr>
            <w:tcW w:w="1289" w:type="pct"/>
            <w:shd w:val="clear" w:color="000000" w:fill="4F81BD"/>
            <w:vAlign w:val="center"/>
            <w:hideMark/>
          </w:tcPr>
          <w:p w14:paraId="48CD996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12.0 Programs Implementation and  Coordination General Directorate</w:t>
            </w:r>
          </w:p>
        </w:tc>
        <w:tc>
          <w:tcPr>
            <w:tcW w:w="618" w:type="pct"/>
            <w:shd w:val="clear" w:color="000000" w:fill="4F81BD"/>
            <w:vAlign w:val="center"/>
            <w:hideMark/>
          </w:tcPr>
          <w:p w14:paraId="1283C7A9" w14:textId="0AB1B8C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648F68CC" w14:textId="48B30C3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125,000</w:t>
            </w:r>
          </w:p>
        </w:tc>
        <w:tc>
          <w:tcPr>
            <w:tcW w:w="619" w:type="pct"/>
            <w:shd w:val="clear" w:color="000000" w:fill="4F81BD"/>
            <w:vAlign w:val="center"/>
            <w:hideMark/>
          </w:tcPr>
          <w:p w14:paraId="6CB4421C" w14:textId="4C1A1E6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145,000</w:t>
            </w:r>
          </w:p>
        </w:tc>
        <w:tc>
          <w:tcPr>
            <w:tcW w:w="618" w:type="pct"/>
            <w:shd w:val="clear" w:color="000000" w:fill="4F81BD"/>
            <w:vAlign w:val="center"/>
            <w:hideMark/>
          </w:tcPr>
          <w:p w14:paraId="5A590A81" w14:textId="174E315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w:t>
            </w:r>
          </w:p>
        </w:tc>
        <w:tc>
          <w:tcPr>
            <w:tcW w:w="618" w:type="pct"/>
            <w:shd w:val="clear" w:color="000000" w:fill="4F81BD"/>
            <w:vAlign w:val="center"/>
            <w:hideMark/>
          </w:tcPr>
          <w:p w14:paraId="24F4EB14" w14:textId="0D2FE9C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275,000</w:t>
            </w:r>
          </w:p>
        </w:tc>
        <w:tc>
          <w:tcPr>
            <w:tcW w:w="619" w:type="pct"/>
            <w:shd w:val="clear" w:color="000000" w:fill="4F81BD"/>
            <w:vAlign w:val="center"/>
            <w:hideMark/>
          </w:tcPr>
          <w:p w14:paraId="62EB2D8A" w14:textId="0493C29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275,000</w:t>
            </w:r>
          </w:p>
        </w:tc>
      </w:tr>
      <w:tr w:rsidR="00D61677" w:rsidRPr="003B7009" w14:paraId="67EE7307" w14:textId="77777777" w:rsidTr="00D61677">
        <w:trPr>
          <w:trHeight w:val="20"/>
        </w:trPr>
        <w:tc>
          <w:tcPr>
            <w:tcW w:w="1289" w:type="pct"/>
            <w:shd w:val="clear" w:color="000000" w:fill="95B3D7"/>
            <w:vAlign w:val="center"/>
            <w:hideMark/>
          </w:tcPr>
          <w:p w14:paraId="4F4C367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12.1 PICGD:  Directorate for Coordination of National Priority Programs </w:t>
            </w:r>
          </w:p>
        </w:tc>
        <w:tc>
          <w:tcPr>
            <w:tcW w:w="618" w:type="pct"/>
            <w:shd w:val="clear" w:color="000000" w:fill="95B3D7"/>
            <w:vAlign w:val="center"/>
            <w:hideMark/>
          </w:tcPr>
          <w:p w14:paraId="39D33F8A" w14:textId="5F68C1B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78395AB6" w14:textId="3F4E34F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100,000</w:t>
            </w:r>
          </w:p>
        </w:tc>
        <w:tc>
          <w:tcPr>
            <w:tcW w:w="619" w:type="pct"/>
            <w:shd w:val="clear" w:color="000000" w:fill="95B3D7"/>
            <w:vAlign w:val="center"/>
            <w:hideMark/>
          </w:tcPr>
          <w:p w14:paraId="4B59E031" w14:textId="13DB315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116,000</w:t>
            </w:r>
          </w:p>
        </w:tc>
        <w:tc>
          <w:tcPr>
            <w:tcW w:w="618" w:type="pct"/>
            <w:shd w:val="clear" w:color="000000" w:fill="95B3D7"/>
            <w:vAlign w:val="center"/>
            <w:hideMark/>
          </w:tcPr>
          <w:p w14:paraId="51FA9D2E" w14:textId="5719857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4,000</w:t>
            </w:r>
          </w:p>
        </w:tc>
        <w:tc>
          <w:tcPr>
            <w:tcW w:w="618" w:type="pct"/>
            <w:shd w:val="clear" w:color="000000" w:fill="95B3D7"/>
            <w:vAlign w:val="center"/>
            <w:hideMark/>
          </w:tcPr>
          <w:p w14:paraId="166CBE56" w14:textId="1887F2D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220,000</w:t>
            </w:r>
          </w:p>
        </w:tc>
        <w:tc>
          <w:tcPr>
            <w:tcW w:w="619" w:type="pct"/>
            <w:shd w:val="clear" w:color="000000" w:fill="95B3D7"/>
            <w:vAlign w:val="center"/>
            <w:hideMark/>
          </w:tcPr>
          <w:p w14:paraId="64CEADCD" w14:textId="6E89182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220,000</w:t>
            </w:r>
          </w:p>
        </w:tc>
      </w:tr>
      <w:tr w:rsidR="00D61677" w:rsidRPr="003B7009" w14:paraId="48590E48" w14:textId="77777777" w:rsidTr="00D61677">
        <w:trPr>
          <w:trHeight w:val="20"/>
        </w:trPr>
        <w:tc>
          <w:tcPr>
            <w:tcW w:w="1289" w:type="pct"/>
            <w:shd w:val="clear" w:color="000000" w:fill="95B3D7"/>
            <w:vAlign w:val="center"/>
            <w:hideMark/>
          </w:tcPr>
          <w:p w14:paraId="41BFC06A"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12.2 PICGD: Directorate for Policy Research</w:t>
            </w:r>
          </w:p>
        </w:tc>
        <w:tc>
          <w:tcPr>
            <w:tcW w:w="618" w:type="pct"/>
            <w:shd w:val="clear" w:color="000000" w:fill="95B3D7"/>
            <w:vAlign w:val="center"/>
            <w:hideMark/>
          </w:tcPr>
          <w:p w14:paraId="7445796C" w14:textId="790B9FF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850190D" w14:textId="24B1587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25,000</w:t>
            </w:r>
          </w:p>
        </w:tc>
        <w:tc>
          <w:tcPr>
            <w:tcW w:w="619" w:type="pct"/>
            <w:shd w:val="clear" w:color="000000" w:fill="95B3D7"/>
            <w:vAlign w:val="center"/>
            <w:hideMark/>
          </w:tcPr>
          <w:p w14:paraId="23DDC218" w14:textId="08FECF6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29,000</w:t>
            </w:r>
          </w:p>
        </w:tc>
        <w:tc>
          <w:tcPr>
            <w:tcW w:w="618" w:type="pct"/>
            <w:shd w:val="clear" w:color="000000" w:fill="95B3D7"/>
            <w:vAlign w:val="center"/>
            <w:hideMark/>
          </w:tcPr>
          <w:p w14:paraId="0D6BD94E" w14:textId="1C09AD6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w:t>
            </w:r>
          </w:p>
        </w:tc>
        <w:tc>
          <w:tcPr>
            <w:tcW w:w="618" w:type="pct"/>
            <w:shd w:val="clear" w:color="000000" w:fill="95B3D7"/>
            <w:vAlign w:val="center"/>
            <w:hideMark/>
          </w:tcPr>
          <w:p w14:paraId="7D7C3CDB" w14:textId="19734A4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w:t>
            </w:r>
          </w:p>
        </w:tc>
        <w:tc>
          <w:tcPr>
            <w:tcW w:w="619" w:type="pct"/>
            <w:shd w:val="clear" w:color="000000" w:fill="95B3D7"/>
            <w:vAlign w:val="center"/>
            <w:hideMark/>
          </w:tcPr>
          <w:p w14:paraId="22378E41" w14:textId="19EBFD0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w:t>
            </w:r>
          </w:p>
        </w:tc>
      </w:tr>
      <w:tr w:rsidR="00D61677" w:rsidRPr="003B7009" w14:paraId="72251EAE" w14:textId="77777777" w:rsidTr="00D61677">
        <w:trPr>
          <w:trHeight w:val="20"/>
        </w:trPr>
        <w:tc>
          <w:tcPr>
            <w:tcW w:w="1289" w:type="pct"/>
            <w:shd w:val="clear" w:color="auto" w:fill="auto"/>
            <w:vAlign w:val="center"/>
            <w:hideMark/>
          </w:tcPr>
          <w:p w14:paraId="1B85C29D"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7587CE6F" w14:textId="0D56A101"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76076A83" w14:textId="4F6B6453"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158E1CE7" w14:textId="65F4B07F"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07F78065" w14:textId="7723EB00"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3D055831" w14:textId="71F0701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11151DCE" w14:textId="300A0F1C" w:rsidR="003B7009" w:rsidRPr="003B7009" w:rsidRDefault="003B7009" w:rsidP="00D61677">
            <w:pPr>
              <w:jc w:val="right"/>
              <w:rPr>
                <w:rFonts w:asciiTheme="minorHAnsi" w:hAnsiTheme="minorHAnsi"/>
                <w:sz w:val="16"/>
                <w:szCs w:val="16"/>
              </w:rPr>
            </w:pPr>
          </w:p>
        </w:tc>
      </w:tr>
      <w:tr w:rsidR="00D61677" w:rsidRPr="003B7009" w14:paraId="78A596CA" w14:textId="77777777" w:rsidTr="00D61677">
        <w:trPr>
          <w:trHeight w:val="20"/>
        </w:trPr>
        <w:tc>
          <w:tcPr>
            <w:tcW w:w="1289" w:type="pct"/>
            <w:shd w:val="clear" w:color="000000" w:fill="4F81BD"/>
            <w:vAlign w:val="center"/>
            <w:hideMark/>
          </w:tcPr>
          <w:p w14:paraId="1516F7EB"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lastRenderedPageBreak/>
              <w:t>13.0 Monitoring, Analysis and Reporting General Directorate</w:t>
            </w:r>
          </w:p>
        </w:tc>
        <w:tc>
          <w:tcPr>
            <w:tcW w:w="618" w:type="pct"/>
            <w:shd w:val="clear" w:color="000000" w:fill="4F81BD"/>
            <w:vAlign w:val="center"/>
            <w:hideMark/>
          </w:tcPr>
          <w:p w14:paraId="2D31ABD8" w14:textId="496E887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659A3D28" w14:textId="28BEE95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50,000</w:t>
            </w:r>
          </w:p>
        </w:tc>
        <w:tc>
          <w:tcPr>
            <w:tcW w:w="619" w:type="pct"/>
            <w:shd w:val="clear" w:color="000000" w:fill="4F81BD"/>
            <w:vAlign w:val="center"/>
            <w:hideMark/>
          </w:tcPr>
          <w:p w14:paraId="69291081" w14:textId="339DAD5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58,000</w:t>
            </w:r>
          </w:p>
        </w:tc>
        <w:tc>
          <w:tcPr>
            <w:tcW w:w="618" w:type="pct"/>
            <w:shd w:val="clear" w:color="000000" w:fill="4F81BD"/>
            <w:vAlign w:val="center"/>
            <w:hideMark/>
          </w:tcPr>
          <w:p w14:paraId="676B110F" w14:textId="36DEC12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2,000</w:t>
            </w:r>
          </w:p>
        </w:tc>
        <w:tc>
          <w:tcPr>
            <w:tcW w:w="618" w:type="pct"/>
            <w:shd w:val="clear" w:color="000000" w:fill="4F81BD"/>
            <w:vAlign w:val="center"/>
            <w:hideMark/>
          </w:tcPr>
          <w:p w14:paraId="117A5161" w14:textId="7359075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w:t>
            </w:r>
          </w:p>
        </w:tc>
        <w:tc>
          <w:tcPr>
            <w:tcW w:w="619" w:type="pct"/>
            <w:shd w:val="clear" w:color="000000" w:fill="4F81BD"/>
            <w:vAlign w:val="center"/>
            <w:hideMark/>
          </w:tcPr>
          <w:p w14:paraId="1C90C36B" w14:textId="500E600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w:t>
            </w:r>
          </w:p>
        </w:tc>
      </w:tr>
      <w:tr w:rsidR="00D61677" w:rsidRPr="003B7009" w14:paraId="6421D218" w14:textId="77777777" w:rsidTr="00D61677">
        <w:trPr>
          <w:trHeight w:val="20"/>
        </w:trPr>
        <w:tc>
          <w:tcPr>
            <w:tcW w:w="1289" w:type="pct"/>
            <w:shd w:val="clear" w:color="000000" w:fill="95B3D7"/>
            <w:vAlign w:val="center"/>
            <w:hideMark/>
          </w:tcPr>
          <w:p w14:paraId="0396C90F"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13.1 MARGD: Directorate of Program Monitoring</w:t>
            </w:r>
          </w:p>
        </w:tc>
        <w:tc>
          <w:tcPr>
            <w:tcW w:w="618" w:type="pct"/>
            <w:shd w:val="clear" w:color="000000" w:fill="95B3D7"/>
            <w:vAlign w:val="center"/>
            <w:hideMark/>
          </w:tcPr>
          <w:p w14:paraId="4AABF9B9" w14:textId="69E4C5D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42980DAA" w14:textId="41582E2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25,000</w:t>
            </w:r>
          </w:p>
        </w:tc>
        <w:tc>
          <w:tcPr>
            <w:tcW w:w="619" w:type="pct"/>
            <w:shd w:val="clear" w:color="000000" w:fill="95B3D7"/>
            <w:vAlign w:val="center"/>
            <w:hideMark/>
          </w:tcPr>
          <w:p w14:paraId="5E511C55" w14:textId="23392AA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29,000</w:t>
            </w:r>
          </w:p>
        </w:tc>
        <w:tc>
          <w:tcPr>
            <w:tcW w:w="618" w:type="pct"/>
            <w:shd w:val="clear" w:color="000000" w:fill="95B3D7"/>
            <w:vAlign w:val="center"/>
            <w:hideMark/>
          </w:tcPr>
          <w:p w14:paraId="68B8C018" w14:textId="2C8B6D0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w:t>
            </w:r>
          </w:p>
        </w:tc>
        <w:tc>
          <w:tcPr>
            <w:tcW w:w="618" w:type="pct"/>
            <w:shd w:val="clear" w:color="000000" w:fill="95B3D7"/>
            <w:vAlign w:val="center"/>
            <w:hideMark/>
          </w:tcPr>
          <w:p w14:paraId="12AE430C" w14:textId="42A7EF3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w:t>
            </w:r>
          </w:p>
        </w:tc>
        <w:tc>
          <w:tcPr>
            <w:tcW w:w="619" w:type="pct"/>
            <w:shd w:val="clear" w:color="000000" w:fill="95B3D7"/>
            <w:vAlign w:val="center"/>
            <w:hideMark/>
          </w:tcPr>
          <w:p w14:paraId="424ECD2B" w14:textId="3F920C45" w:rsidR="003B7009" w:rsidRPr="003B7009" w:rsidRDefault="003B7009" w:rsidP="00D61677">
            <w:pPr>
              <w:jc w:val="right"/>
              <w:rPr>
                <w:rFonts w:asciiTheme="minorHAnsi" w:hAnsiTheme="minorHAnsi"/>
                <w:sz w:val="16"/>
                <w:szCs w:val="16"/>
              </w:rPr>
            </w:pPr>
          </w:p>
        </w:tc>
      </w:tr>
      <w:tr w:rsidR="00D61677" w:rsidRPr="003B7009" w14:paraId="0C7FDD4A" w14:textId="77777777" w:rsidTr="00D61677">
        <w:trPr>
          <w:trHeight w:val="20"/>
        </w:trPr>
        <w:tc>
          <w:tcPr>
            <w:tcW w:w="1289" w:type="pct"/>
            <w:shd w:val="clear" w:color="000000" w:fill="95B3D7"/>
            <w:vAlign w:val="center"/>
            <w:hideMark/>
          </w:tcPr>
          <w:p w14:paraId="0085DD02"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13.2 MARGD: Directorate for Analysis and Reporting</w:t>
            </w:r>
          </w:p>
        </w:tc>
        <w:tc>
          <w:tcPr>
            <w:tcW w:w="618" w:type="pct"/>
            <w:shd w:val="clear" w:color="000000" w:fill="95B3D7"/>
            <w:vAlign w:val="center"/>
            <w:hideMark/>
          </w:tcPr>
          <w:p w14:paraId="2A7C33A0" w14:textId="52A93F0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79D546CE" w14:textId="2C6EE6D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25,000</w:t>
            </w:r>
          </w:p>
        </w:tc>
        <w:tc>
          <w:tcPr>
            <w:tcW w:w="619" w:type="pct"/>
            <w:shd w:val="clear" w:color="000000" w:fill="95B3D7"/>
            <w:vAlign w:val="center"/>
            <w:hideMark/>
          </w:tcPr>
          <w:p w14:paraId="060A55B2" w14:textId="6082AD5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29,000</w:t>
            </w:r>
          </w:p>
        </w:tc>
        <w:tc>
          <w:tcPr>
            <w:tcW w:w="618" w:type="pct"/>
            <w:shd w:val="clear" w:color="000000" w:fill="95B3D7"/>
            <w:vAlign w:val="center"/>
            <w:hideMark/>
          </w:tcPr>
          <w:p w14:paraId="55864B7B" w14:textId="6C1AAB5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w:t>
            </w:r>
          </w:p>
        </w:tc>
        <w:tc>
          <w:tcPr>
            <w:tcW w:w="618" w:type="pct"/>
            <w:shd w:val="clear" w:color="000000" w:fill="95B3D7"/>
            <w:vAlign w:val="center"/>
            <w:hideMark/>
          </w:tcPr>
          <w:p w14:paraId="1C0A81E8" w14:textId="609576C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w:t>
            </w:r>
          </w:p>
        </w:tc>
        <w:tc>
          <w:tcPr>
            <w:tcW w:w="619" w:type="pct"/>
            <w:shd w:val="clear" w:color="000000" w:fill="95B3D7"/>
            <w:vAlign w:val="center"/>
            <w:hideMark/>
          </w:tcPr>
          <w:p w14:paraId="5A265B0D" w14:textId="02DF5E3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55,000</w:t>
            </w:r>
          </w:p>
        </w:tc>
      </w:tr>
      <w:tr w:rsidR="00D61677" w:rsidRPr="003B7009" w14:paraId="27B69FBF" w14:textId="77777777" w:rsidTr="00D61677">
        <w:trPr>
          <w:trHeight w:val="20"/>
        </w:trPr>
        <w:tc>
          <w:tcPr>
            <w:tcW w:w="1289" w:type="pct"/>
            <w:shd w:val="clear" w:color="000000" w:fill="4F81BD"/>
            <w:vAlign w:val="center"/>
            <w:hideMark/>
          </w:tcPr>
          <w:p w14:paraId="20591203"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14.0 Reform Implementation Management Unit (RIMU)</w:t>
            </w:r>
          </w:p>
        </w:tc>
        <w:tc>
          <w:tcPr>
            <w:tcW w:w="618" w:type="pct"/>
            <w:shd w:val="clear" w:color="000000" w:fill="4F81BD"/>
            <w:vAlign w:val="center"/>
            <w:hideMark/>
          </w:tcPr>
          <w:p w14:paraId="1414C46D" w14:textId="45C8D58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7BC03A13" w14:textId="5D7B94F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50,000</w:t>
            </w:r>
          </w:p>
        </w:tc>
        <w:tc>
          <w:tcPr>
            <w:tcW w:w="619" w:type="pct"/>
            <w:shd w:val="clear" w:color="000000" w:fill="4F81BD"/>
            <w:vAlign w:val="center"/>
            <w:hideMark/>
          </w:tcPr>
          <w:p w14:paraId="1880D8C0" w14:textId="5568788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58,000</w:t>
            </w:r>
          </w:p>
        </w:tc>
        <w:tc>
          <w:tcPr>
            <w:tcW w:w="618" w:type="pct"/>
            <w:shd w:val="clear" w:color="000000" w:fill="4F81BD"/>
            <w:vAlign w:val="center"/>
            <w:hideMark/>
          </w:tcPr>
          <w:p w14:paraId="2207FC51" w14:textId="11A7220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2,000</w:t>
            </w:r>
          </w:p>
        </w:tc>
        <w:tc>
          <w:tcPr>
            <w:tcW w:w="618" w:type="pct"/>
            <w:shd w:val="clear" w:color="000000" w:fill="4F81BD"/>
            <w:vAlign w:val="center"/>
            <w:hideMark/>
          </w:tcPr>
          <w:p w14:paraId="27677C9B" w14:textId="08C212D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w:t>
            </w:r>
          </w:p>
        </w:tc>
        <w:tc>
          <w:tcPr>
            <w:tcW w:w="619" w:type="pct"/>
            <w:shd w:val="clear" w:color="000000" w:fill="4F81BD"/>
            <w:vAlign w:val="center"/>
            <w:hideMark/>
          </w:tcPr>
          <w:p w14:paraId="4823FD3B" w14:textId="480BEBD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w:t>
            </w:r>
          </w:p>
        </w:tc>
      </w:tr>
      <w:tr w:rsidR="00D61677" w:rsidRPr="003B7009" w14:paraId="08E06D4F" w14:textId="77777777" w:rsidTr="00D61677">
        <w:trPr>
          <w:trHeight w:val="20"/>
        </w:trPr>
        <w:tc>
          <w:tcPr>
            <w:tcW w:w="1289" w:type="pct"/>
            <w:shd w:val="clear" w:color="000000" w:fill="95B3D7"/>
            <w:vAlign w:val="center"/>
            <w:hideMark/>
          </w:tcPr>
          <w:p w14:paraId="241B17AA"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14.1 RIMU</w:t>
            </w:r>
          </w:p>
        </w:tc>
        <w:tc>
          <w:tcPr>
            <w:tcW w:w="618" w:type="pct"/>
            <w:shd w:val="clear" w:color="000000" w:fill="95B3D7"/>
            <w:vAlign w:val="center"/>
            <w:hideMark/>
          </w:tcPr>
          <w:p w14:paraId="3E678DDB" w14:textId="5F76397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5B9CDC5" w14:textId="42010D5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50,000</w:t>
            </w:r>
          </w:p>
        </w:tc>
        <w:tc>
          <w:tcPr>
            <w:tcW w:w="619" w:type="pct"/>
            <w:shd w:val="clear" w:color="000000" w:fill="95B3D7"/>
            <w:vAlign w:val="center"/>
            <w:hideMark/>
          </w:tcPr>
          <w:p w14:paraId="6417D5C8" w14:textId="4962BA4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58,000</w:t>
            </w:r>
          </w:p>
        </w:tc>
        <w:tc>
          <w:tcPr>
            <w:tcW w:w="618" w:type="pct"/>
            <w:shd w:val="clear" w:color="000000" w:fill="95B3D7"/>
            <w:vAlign w:val="center"/>
            <w:hideMark/>
          </w:tcPr>
          <w:p w14:paraId="017143FC" w14:textId="7A2BA3D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2,000</w:t>
            </w:r>
          </w:p>
        </w:tc>
        <w:tc>
          <w:tcPr>
            <w:tcW w:w="618" w:type="pct"/>
            <w:shd w:val="clear" w:color="000000" w:fill="95B3D7"/>
            <w:vAlign w:val="center"/>
            <w:hideMark/>
          </w:tcPr>
          <w:p w14:paraId="7149C45B" w14:textId="0A3A604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w:t>
            </w:r>
          </w:p>
        </w:tc>
        <w:tc>
          <w:tcPr>
            <w:tcW w:w="619" w:type="pct"/>
            <w:shd w:val="clear" w:color="000000" w:fill="95B3D7"/>
            <w:vAlign w:val="center"/>
            <w:hideMark/>
          </w:tcPr>
          <w:p w14:paraId="35FEBE89" w14:textId="06A1D34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w:t>
            </w:r>
          </w:p>
        </w:tc>
      </w:tr>
      <w:tr w:rsidR="00D61677" w:rsidRPr="003B7009" w14:paraId="02DA3E78" w14:textId="77777777" w:rsidTr="00D61677">
        <w:trPr>
          <w:trHeight w:val="20"/>
        </w:trPr>
        <w:tc>
          <w:tcPr>
            <w:tcW w:w="1289" w:type="pct"/>
            <w:shd w:val="clear" w:color="auto" w:fill="auto"/>
            <w:vAlign w:val="center"/>
            <w:hideMark/>
          </w:tcPr>
          <w:p w14:paraId="24CE1384"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10CF820D" w14:textId="0933EAD2"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03BCF110" w14:textId="27C43675"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0278991B" w14:textId="2D69FAE0"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67964D50" w14:textId="55CA2B15"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0C20F239" w14:textId="31302F6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66F93E5C" w14:textId="20971B5F" w:rsidR="003B7009" w:rsidRPr="003B7009" w:rsidRDefault="003B7009" w:rsidP="00D61677">
            <w:pPr>
              <w:jc w:val="right"/>
              <w:rPr>
                <w:rFonts w:asciiTheme="minorHAnsi" w:hAnsiTheme="minorHAnsi"/>
                <w:sz w:val="16"/>
                <w:szCs w:val="16"/>
              </w:rPr>
            </w:pPr>
          </w:p>
        </w:tc>
      </w:tr>
      <w:tr w:rsidR="00D61677" w:rsidRPr="003B7009" w14:paraId="3A77471E" w14:textId="77777777" w:rsidTr="00D61677">
        <w:trPr>
          <w:trHeight w:val="20"/>
        </w:trPr>
        <w:tc>
          <w:tcPr>
            <w:tcW w:w="1289" w:type="pct"/>
            <w:shd w:val="clear" w:color="000000" w:fill="4F81BD"/>
            <w:vAlign w:val="center"/>
            <w:hideMark/>
          </w:tcPr>
          <w:p w14:paraId="099B3C6B"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15.0 Revenue Planning Department</w:t>
            </w:r>
          </w:p>
        </w:tc>
        <w:tc>
          <w:tcPr>
            <w:tcW w:w="618" w:type="pct"/>
            <w:shd w:val="clear" w:color="000000" w:fill="4F81BD"/>
            <w:vAlign w:val="center"/>
            <w:hideMark/>
          </w:tcPr>
          <w:p w14:paraId="2369788B" w14:textId="68876D7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2042224A" w14:textId="1B47693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425,000</w:t>
            </w:r>
          </w:p>
        </w:tc>
        <w:tc>
          <w:tcPr>
            <w:tcW w:w="619" w:type="pct"/>
            <w:shd w:val="clear" w:color="000000" w:fill="4F81BD"/>
            <w:vAlign w:val="center"/>
            <w:hideMark/>
          </w:tcPr>
          <w:p w14:paraId="242A2526" w14:textId="5F4D20A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493,000</w:t>
            </w:r>
          </w:p>
        </w:tc>
        <w:tc>
          <w:tcPr>
            <w:tcW w:w="618" w:type="pct"/>
            <w:shd w:val="clear" w:color="000000" w:fill="4F81BD"/>
            <w:vAlign w:val="center"/>
            <w:hideMark/>
          </w:tcPr>
          <w:p w14:paraId="7FDFDDBB" w14:textId="076C6FB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17,000</w:t>
            </w:r>
          </w:p>
        </w:tc>
        <w:tc>
          <w:tcPr>
            <w:tcW w:w="618" w:type="pct"/>
            <w:shd w:val="clear" w:color="000000" w:fill="4F81BD"/>
            <w:vAlign w:val="center"/>
            <w:hideMark/>
          </w:tcPr>
          <w:p w14:paraId="4A4A5CF6" w14:textId="02E3B2C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935,000</w:t>
            </w:r>
          </w:p>
        </w:tc>
        <w:tc>
          <w:tcPr>
            <w:tcW w:w="619" w:type="pct"/>
            <w:shd w:val="clear" w:color="000000" w:fill="4F81BD"/>
            <w:vAlign w:val="center"/>
            <w:hideMark/>
          </w:tcPr>
          <w:p w14:paraId="21DD1B91" w14:textId="40CF0C5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935,000</w:t>
            </w:r>
          </w:p>
        </w:tc>
      </w:tr>
      <w:tr w:rsidR="00D61677" w:rsidRPr="003B7009" w14:paraId="79145C94" w14:textId="77777777" w:rsidTr="00D61677">
        <w:trPr>
          <w:trHeight w:val="20"/>
        </w:trPr>
        <w:tc>
          <w:tcPr>
            <w:tcW w:w="1289" w:type="pct"/>
            <w:shd w:val="clear" w:color="000000" w:fill="95B3D7"/>
            <w:vAlign w:val="center"/>
            <w:hideMark/>
          </w:tcPr>
          <w:p w14:paraId="0CF021A5"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xml:space="preserve">15.1 Revenue Analysis and Forecasting </w:t>
            </w:r>
          </w:p>
        </w:tc>
        <w:tc>
          <w:tcPr>
            <w:tcW w:w="618" w:type="pct"/>
            <w:shd w:val="clear" w:color="000000" w:fill="95B3D7"/>
            <w:vAlign w:val="center"/>
            <w:hideMark/>
          </w:tcPr>
          <w:p w14:paraId="73475EF3" w14:textId="723E119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14129055" w14:textId="13DF5AF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75,000</w:t>
            </w:r>
          </w:p>
        </w:tc>
        <w:tc>
          <w:tcPr>
            <w:tcW w:w="619" w:type="pct"/>
            <w:shd w:val="clear" w:color="000000" w:fill="95B3D7"/>
            <w:vAlign w:val="center"/>
            <w:hideMark/>
          </w:tcPr>
          <w:p w14:paraId="2737D0B1" w14:textId="2AEBDFC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87,000</w:t>
            </w:r>
          </w:p>
        </w:tc>
        <w:tc>
          <w:tcPr>
            <w:tcW w:w="618" w:type="pct"/>
            <w:shd w:val="clear" w:color="000000" w:fill="95B3D7"/>
            <w:vAlign w:val="center"/>
            <w:hideMark/>
          </w:tcPr>
          <w:p w14:paraId="234DD88A" w14:textId="5EF279A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3,000</w:t>
            </w:r>
          </w:p>
        </w:tc>
        <w:tc>
          <w:tcPr>
            <w:tcW w:w="618" w:type="pct"/>
            <w:shd w:val="clear" w:color="000000" w:fill="95B3D7"/>
            <w:vAlign w:val="center"/>
            <w:hideMark/>
          </w:tcPr>
          <w:p w14:paraId="7C78EF7C" w14:textId="022E336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c>
          <w:tcPr>
            <w:tcW w:w="619" w:type="pct"/>
            <w:shd w:val="clear" w:color="000000" w:fill="95B3D7"/>
            <w:vAlign w:val="center"/>
            <w:hideMark/>
          </w:tcPr>
          <w:p w14:paraId="46886195" w14:textId="2A4DCC9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r>
      <w:tr w:rsidR="00D61677" w:rsidRPr="003B7009" w14:paraId="47667076" w14:textId="77777777" w:rsidTr="00D61677">
        <w:trPr>
          <w:trHeight w:val="20"/>
        </w:trPr>
        <w:tc>
          <w:tcPr>
            <w:tcW w:w="1289" w:type="pct"/>
            <w:shd w:val="clear" w:color="000000" w:fill="95B3D7"/>
            <w:vAlign w:val="center"/>
            <w:hideMark/>
          </w:tcPr>
          <w:p w14:paraId="1D30969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15.2 Monitoring and Evaluation of Revenue Targets</w:t>
            </w:r>
          </w:p>
        </w:tc>
        <w:tc>
          <w:tcPr>
            <w:tcW w:w="618" w:type="pct"/>
            <w:shd w:val="clear" w:color="000000" w:fill="95B3D7"/>
            <w:vAlign w:val="center"/>
            <w:hideMark/>
          </w:tcPr>
          <w:p w14:paraId="6C0E36BC" w14:textId="1B97C71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7856AB40" w14:textId="1AAE096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75,000</w:t>
            </w:r>
          </w:p>
        </w:tc>
        <w:tc>
          <w:tcPr>
            <w:tcW w:w="619" w:type="pct"/>
            <w:shd w:val="clear" w:color="000000" w:fill="95B3D7"/>
            <w:vAlign w:val="center"/>
            <w:hideMark/>
          </w:tcPr>
          <w:p w14:paraId="2FF4B840" w14:textId="4A308BE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87,000</w:t>
            </w:r>
          </w:p>
        </w:tc>
        <w:tc>
          <w:tcPr>
            <w:tcW w:w="618" w:type="pct"/>
            <w:shd w:val="clear" w:color="000000" w:fill="95B3D7"/>
            <w:vAlign w:val="center"/>
            <w:hideMark/>
          </w:tcPr>
          <w:p w14:paraId="5A4D4EC8" w14:textId="37465E1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3,000</w:t>
            </w:r>
          </w:p>
        </w:tc>
        <w:tc>
          <w:tcPr>
            <w:tcW w:w="618" w:type="pct"/>
            <w:shd w:val="clear" w:color="000000" w:fill="95B3D7"/>
            <w:vAlign w:val="center"/>
            <w:hideMark/>
          </w:tcPr>
          <w:p w14:paraId="62D43F32" w14:textId="1CDD2F1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c>
          <w:tcPr>
            <w:tcW w:w="619" w:type="pct"/>
            <w:shd w:val="clear" w:color="000000" w:fill="95B3D7"/>
            <w:vAlign w:val="center"/>
            <w:hideMark/>
          </w:tcPr>
          <w:p w14:paraId="03895AA0" w14:textId="3D180DD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165,000</w:t>
            </w:r>
          </w:p>
        </w:tc>
      </w:tr>
      <w:tr w:rsidR="00D61677" w:rsidRPr="003B7009" w14:paraId="0246CCCB" w14:textId="77777777" w:rsidTr="00D61677">
        <w:trPr>
          <w:trHeight w:val="20"/>
        </w:trPr>
        <w:tc>
          <w:tcPr>
            <w:tcW w:w="1289" w:type="pct"/>
            <w:shd w:val="clear" w:color="auto" w:fill="auto"/>
            <w:vAlign w:val="center"/>
            <w:hideMark/>
          </w:tcPr>
          <w:p w14:paraId="3FF52B85"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3B936030" w14:textId="5ED78C01"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1FDDE73C" w14:textId="0E22E439"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1EFC9B73" w14:textId="6B9A1AB9"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BE45C86" w14:textId="12001802"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62BE6109" w14:textId="1BE98E1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3C9D86BD" w14:textId="69FD750D" w:rsidR="003B7009" w:rsidRPr="003B7009" w:rsidRDefault="003B7009" w:rsidP="00D61677">
            <w:pPr>
              <w:jc w:val="right"/>
              <w:rPr>
                <w:rFonts w:asciiTheme="minorHAnsi" w:hAnsiTheme="minorHAnsi"/>
                <w:sz w:val="16"/>
                <w:szCs w:val="16"/>
              </w:rPr>
            </w:pPr>
          </w:p>
        </w:tc>
      </w:tr>
      <w:tr w:rsidR="00D61677" w:rsidRPr="003B7009" w14:paraId="4C1C28EC" w14:textId="77777777" w:rsidTr="00D61677">
        <w:trPr>
          <w:trHeight w:val="20"/>
        </w:trPr>
        <w:tc>
          <w:tcPr>
            <w:tcW w:w="1289" w:type="pct"/>
            <w:shd w:val="clear" w:color="000000" w:fill="4F81BD"/>
            <w:vAlign w:val="center"/>
            <w:hideMark/>
          </w:tcPr>
          <w:p w14:paraId="712B29D6"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16.0 Macro-Fiscal Performance Department</w:t>
            </w:r>
          </w:p>
        </w:tc>
        <w:tc>
          <w:tcPr>
            <w:tcW w:w="618" w:type="pct"/>
            <w:shd w:val="clear" w:color="000000" w:fill="4F81BD"/>
            <w:vAlign w:val="center"/>
            <w:hideMark/>
          </w:tcPr>
          <w:p w14:paraId="1FF0E963" w14:textId="6DE1F7C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78364212" w14:textId="51BF74F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675,000</w:t>
            </w:r>
          </w:p>
        </w:tc>
        <w:tc>
          <w:tcPr>
            <w:tcW w:w="619" w:type="pct"/>
            <w:shd w:val="clear" w:color="000000" w:fill="4F81BD"/>
            <w:vAlign w:val="center"/>
            <w:hideMark/>
          </w:tcPr>
          <w:p w14:paraId="549194D7" w14:textId="2E08648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783,000</w:t>
            </w:r>
          </w:p>
        </w:tc>
        <w:tc>
          <w:tcPr>
            <w:tcW w:w="618" w:type="pct"/>
            <w:shd w:val="clear" w:color="000000" w:fill="4F81BD"/>
            <w:vAlign w:val="center"/>
            <w:hideMark/>
          </w:tcPr>
          <w:p w14:paraId="7007CFF3" w14:textId="018C013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227,000</w:t>
            </w:r>
          </w:p>
        </w:tc>
        <w:tc>
          <w:tcPr>
            <w:tcW w:w="618" w:type="pct"/>
            <w:shd w:val="clear" w:color="000000" w:fill="4F81BD"/>
            <w:vAlign w:val="center"/>
            <w:hideMark/>
          </w:tcPr>
          <w:p w14:paraId="76C180EE" w14:textId="7C78838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1,685,000</w:t>
            </w:r>
          </w:p>
        </w:tc>
        <w:tc>
          <w:tcPr>
            <w:tcW w:w="619" w:type="pct"/>
            <w:shd w:val="clear" w:color="000000" w:fill="4F81BD"/>
            <w:vAlign w:val="center"/>
            <w:hideMark/>
          </w:tcPr>
          <w:p w14:paraId="787C1AC6" w14:textId="7C2152F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1,485,000</w:t>
            </w:r>
          </w:p>
        </w:tc>
      </w:tr>
      <w:tr w:rsidR="00D61677" w:rsidRPr="003B7009" w14:paraId="152B26B4" w14:textId="77777777" w:rsidTr="00D61677">
        <w:trPr>
          <w:trHeight w:val="20"/>
        </w:trPr>
        <w:tc>
          <w:tcPr>
            <w:tcW w:w="1289" w:type="pct"/>
            <w:shd w:val="clear" w:color="000000" w:fill="95B3D7"/>
            <w:vAlign w:val="center"/>
            <w:hideMark/>
          </w:tcPr>
          <w:p w14:paraId="6F5ABD7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16.1 MFPD: Fiscal Directorate</w:t>
            </w:r>
          </w:p>
        </w:tc>
        <w:tc>
          <w:tcPr>
            <w:tcW w:w="618" w:type="pct"/>
            <w:shd w:val="clear" w:color="000000" w:fill="95B3D7"/>
            <w:vAlign w:val="center"/>
            <w:hideMark/>
          </w:tcPr>
          <w:p w14:paraId="0723BFB3" w14:textId="70D628C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017DE982" w14:textId="6E240BF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116,667</w:t>
            </w:r>
          </w:p>
        </w:tc>
        <w:tc>
          <w:tcPr>
            <w:tcW w:w="619" w:type="pct"/>
            <w:shd w:val="clear" w:color="000000" w:fill="95B3D7"/>
            <w:vAlign w:val="center"/>
            <w:hideMark/>
          </w:tcPr>
          <w:p w14:paraId="5673CB89" w14:textId="29376D8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135,333</w:t>
            </w:r>
          </w:p>
        </w:tc>
        <w:tc>
          <w:tcPr>
            <w:tcW w:w="618" w:type="pct"/>
            <w:shd w:val="clear" w:color="000000" w:fill="95B3D7"/>
            <w:vAlign w:val="center"/>
            <w:hideMark/>
          </w:tcPr>
          <w:p w14:paraId="33542029" w14:textId="3C9333F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4,667</w:t>
            </w:r>
          </w:p>
        </w:tc>
        <w:tc>
          <w:tcPr>
            <w:tcW w:w="618" w:type="pct"/>
            <w:shd w:val="clear" w:color="000000" w:fill="95B3D7"/>
            <w:vAlign w:val="center"/>
            <w:hideMark/>
          </w:tcPr>
          <w:p w14:paraId="3D629E96" w14:textId="5FE0D0A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256,667</w:t>
            </w:r>
          </w:p>
        </w:tc>
        <w:tc>
          <w:tcPr>
            <w:tcW w:w="619" w:type="pct"/>
            <w:shd w:val="clear" w:color="000000" w:fill="95B3D7"/>
            <w:vAlign w:val="center"/>
            <w:hideMark/>
          </w:tcPr>
          <w:p w14:paraId="0B6AA43B" w14:textId="28CD3A9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256,667</w:t>
            </w:r>
          </w:p>
        </w:tc>
      </w:tr>
      <w:tr w:rsidR="00D61677" w:rsidRPr="003B7009" w14:paraId="7BFC27EE" w14:textId="77777777" w:rsidTr="00D61677">
        <w:trPr>
          <w:trHeight w:val="20"/>
        </w:trPr>
        <w:tc>
          <w:tcPr>
            <w:tcW w:w="1289" w:type="pct"/>
            <w:shd w:val="clear" w:color="000000" w:fill="95B3D7"/>
            <w:vAlign w:val="center"/>
            <w:hideMark/>
          </w:tcPr>
          <w:p w14:paraId="337894DE"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16.2 MFPD: Macroeconomic Unit</w:t>
            </w:r>
          </w:p>
        </w:tc>
        <w:tc>
          <w:tcPr>
            <w:tcW w:w="618" w:type="pct"/>
            <w:shd w:val="clear" w:color="000000" w:fill="95B3D7"/>
            <w:vAlign w:val="center"/>
            <w:hideMark/>
          </w:tcPr>
          <w:p w14:paraId="33F3DB72" w14:textId="178F447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D36733D" w14:textId="7050548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50,000</w:t>
            </w:r>
          </w:p>
        </w:tc>
        <w:tc>
          <w:tcPr>
            <w:tcW w:w="619" w:type="pct"/>
            <w:shd w:val="clear" w:color="000000" w:fill="95B3D7"/>
            <w:vAlign w:val="center"/>
            <w:hideMark/>
          </w:tcPr>
          <w:p w14:paraId="1CEFC84C" w14:textId="2745BE3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58,000</w:t>
            </w:r>
          </w:p>
        </w:tc>
        <w:tc>
          <w:tcPr>
            <w:tcW w:w="618" w:type="pct"/>
            <w:shd w:val="clear" w:color="000000" w:fill="95B3D7"/>
            <w:vAlign w:val="center"/>
            <w:hideMark/>
          </w:tcPr>
          <w:p w14:paraId="35E3DCFC" w14:textId="695F707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2,000</w:t>
            </w:r>
          </w:p>
        </w:tc>
        <w:tc>
          <w:tcPr>
            <w:tcW w:w="618" w:type="pct"/>
            <w:shd w:val="clear" w:color="000000" w:fill="95B3D7"/>
            <w:vAlign w:val="center"/>
            <w:hideMark/>
          </w:tcPr>
          <w:p w14:paraId="01A16D11" w14:textId="627F63F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w:t>
            </w:r>
          </w:p>
        </w:tc>
        <w:tc>
          <w:tcPr>
            <w:tcW w:w="619" w:type="pct"/>
            <w:shd w:val="clear" w:color="000000" w:fill="95B3D7"/>
            <w:vAlign w:val="center"/>
            <w:hideMark/>
          </w:tcPr>
          <w:p w14:paraId="28E1DD86" w14:textId="4BBFE95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110,000</w:t>
            </w:r>
          </w:p>
        </w:tc>
      </w:tr>
      <w:tr w:rsidR="00D61677" w:rsidRPr="003B7009" w14:paraId="52B4C0E5" w14:textId="77777777" w:rsidTr="00D61677">
        <w:trPr>
          <w:trHeight w:val="20"/>
        </w:trPr>
        <w:tc>
          <w:tcPr>
            <w:tcW w:w="1289" w:type="pct"/>
            <w:shd w:val="clear" w:color="000000" w:fill="95B3D7"/>
            <w:vAlign w:val="center"/>
            <w:hideMark/>
          </w:tcPr>
          <w:p w14:paraId="1394E164"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16.3 MFPD: Admin and Reporting Unit</w:t>
            </w:r>
          </w:p>
        </w:tc>
        <w:tc>
          <w:tcPr>
            <w:tcW w:w="618" w:type="pct"/>
            <w:shd w:val="clear" w:color="000000" w:fill="95B3D7"/>
            <w:vAlign w:val="center"/>
            <w:hideMark/>
          </w:tcPr>
          <w:p w14:paraId="5197883A" w14:textId="1FCC96B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3D51FD2D" w14:textId="308F194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108,333</w:t>
            </w:r>
          </w:p>
        </w:tc>
        <w:tc>
          <w:tcPr>
            <w:tcW w:w="619" w:type="pct"/>
            <w:shd w:val="clear" w:color="000000" w:fill="95B3D7"/>
            <w:vAlign w:val="center"/>
            <w:hideMark/>
          </w:tcPr>
          <w:p w14:paraId="0D6A749A" w14:textId="49A27E1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125,667</w:t>
            </w:r>
          </w:p>
        </w:tc>
        <w:tc>
          <w:tcPr>
            <w:tcW w:w="618" w:type="pct"/>
            <w:shd w:val="clear" w:color="000000" w:fill="95B3D7"/>
            <w:vAlign w:val="center"/>
            <w:hideMark/>
          </w:tcPr>
          <w:p w14:paraId="4807F5D6" w14:textId="690F4CDE"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4,333</w:t>
            </w:r>
          </w:p>
        </w:tc>
        <w:tc>
          <w:tcPr>
            <w:tcW w:w="618" w:type="pct"/>
            <w:shd w:val="clear" w:color="000000" w:fill="95B3D7"/>
            <w:vAlign w:val="center"/>
            <w:hideMark/>
          </w:tcPr>
          <w:p w14:paraId="746EEDED" w14:textId="49FCF50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238,333</w:t>
            </w:r>
          </w:p>
        </w:tc>
        <w:tc>
          <w:tcPr>
            <w:tcW w:w="619" w:type="pct"/>
            <w:shd w:val="clear" w:color="000000" w:fill="95B3D7"/>
            <w:vAlign w:val="center"/>
            <w:hideMark/>
          </w:tcPr>
          <w:p w14:paraId="5EAA9F79" w14:textId="0518BB5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238,333</w:t>
            </w:r>
          </w:p>
        </w:tc>
      </w:tr>
      <w:tr w:rsidR="00D61677" w:rsidRPr="003B7009" w14:paraId="5C7791BA" w14:textId="77777777" w:rsidTr="00D61677">
        <w:trPr>
          <w:trHeight w:val="20"/>
        </w:trPr>
        <w:tc>
          <w:tcPr>
            <w:tcW w:w="1289" w:type="pct"/>
            <w:shd w:val="clear" w:color="000000" w:fill="95B3D7"/>
            <w:vAlign w:val="center"/>
            <w:hideMark/>
          </w:tcPr>
          <w:p w14:paraId="7B58E628"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16.4 MFPD: Performance Management Team</w:t>
            </w:r>
          </w:p>
        </w:tc>
        <w:tc>
          <w:tcPr>
            <w:tcW w:w="618" w:type="pct"/>
            <w:shd w:val="clear" w:color="000000" w:fill="95B3D7"/>
            <w:vAlign w:val="center"/>
            <w:hideMark/>
          </w:tcPr>
          <w:p w14:paraId="1C828BFD" w14:textId="0D80A7A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57411B56" w14:textId="6B3476F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400,000</w:t>
            </w:r>
          </w:p>
        </w:tc>
        <w:tc>
          <w:tcPr>
            <w:tcW w:w="619" w:type="pct"/>
            <w:shd w:val="clear" w:color="000000" w:fill="95B3D7"/>
            <w:vAlign w:val="center"/>
            <w:hideMark/>
          </w:tcPr>
          <w:p w14:paraId="77C29572" w14:textId="79D5E07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464,000</w:t>
            </w:r>
          </w:p>
        </w:tc>
        <w:tc>
          <w:tcPr>
            <w:tcW w:w="618" w:type="pct"/>
            <w:shd w:val="clear" w:color="000000" w:fill="95B3D7"/>
            <w:vAlign w:val="center"/>
            <w:hideMark/>
          </w:tcPr>
          <w:p w14:paraId="7EEC2322" w14:textId="65108A8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216,000</w:t>
            </w:r>
          </w:p>
        </w:tc>
        <w:tc>
          <w:tcPr>
            <w:tcW w:w="618" w:type="pct"/>
            <w:shd w:val="clear" w:color="000000" w:fill="95B3D7"/>
            <w:vAlign w:val="center"/>
            <w:hideMark/>
          </w:tcPr>
          <w:p w14:paraId="440CBEC5" w14:textId="4619799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1,080,000</w:t>
            </w:r>
          </w:p>
        </w:tc>
        <w:tc>
          <w:tcPr>
            <w:tcW w:w="619" w:type="pct"/>
            <w:shd w:val="clear" w:color="000000" w:fill="95B3D7"/>
            <w:vAlign w:val="center"/>
            <w:hideMark/>
          </w:tcPr>
          <w:p w14:paraId="37FF694D" w14:textId="49C3EEA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880,000</w:t>
            </w:r>
          </w:p>
        </w:tc>
      </w:tr>
      <w:tr w:rsidR="00D61677" w:rsidRPr="003B7009" w14:paraId="0426212F" w14:textId="77777777" w:rsidTr="00D61677">
        <w:trPr>
          <w:trHeight w:val="20"/>
        </w:trPr>
        <w:tc>
          <w:tcPr>
            <w:tcW w:w="1289" w:type="pct"/>
            <w:shd w:val="clear" w:color="auto" w:fill="auto"/>
            <w:vAlign w:val="center"/>
            <w:hideMark/>
          </w:tcPr>
          <w:p w14:paraId="721E75D8"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159BC12E" w14:textId="7CA75468"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134EAFCB" w14:textId="3A5E0E85"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4CBACD6C" w14:textId="455FDE28"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3567776F" w14:textId="09DA7635"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D5DB6F0" w14:textId="60EF62A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6F3FF851" w14:textId="5AA7EF37" w:rsidR="003B7009" w:rsidRPr="003B7009" w:rsidRDefault="003B7009" w:rsidP="00D61677">
            <w:pPr>
              <w:jc w:val="right"/>
              <w:rPr>
                <w:rFonts w:asciiTheme="minorHAnsi" w:hAnsiTheme="minorHAnsi"/>
                <w:sz w:val="16"/>
                <w:szCs w:val="16"/>
              </w:rPr>
            </w:pPr>
          </w:p>
        </w:tc>
      </w:tr>
      <w:tr w:rsidR="00D61677" w:rsidRPr="003B7009" w14:paraId="046597E5" w14:textId="77777777" w:rsidTr="00D61677">
        <w:trPr>
          <w:trHeight w:val="20"/>
        </w:trPr>
        <w:tc>
          <w:tcPr>
            <w:tcW w:w="1289" w:type="pct"/>
            <w:shd w:val="clear" w:color="000000" w:fill="4F81BD"/>
            <w:vAlign w:val="center"/>
            <w:hideMark/>
          </w:tcPr>
          <w:p w14:paraId="45D3AEF6"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17.0 Aid Management Directorate</w:t>
            </w:r>
          </w:p>
        </w:tc>
        <w:tc>
          <w:tcPr>
            <w:tcW w:w="618" w:type="pct"/>
            <w:shd w:val="clear" w:color="000000" w:fill="4F81BD"/>
            <w:vAlign w:val="center"/>
            <w:hideMark/>
          </w:tcPr>
          <w:p w14:paraId="64EBF79F" w14:textId="2B27223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4B8769F3" w14:textId="35B82F6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220,833</w:t>
            </w:r>
          </w:p>
        </w:tc>
        <w:tc>
          <w:tcPr>
            <w:tcW w:w="619" w:type="pct"/>
            <w:shd w:val="clear" w:color="000000" w:fill="4F81BD"/>
            <w:vAlign w:val="center"/>
            <w:hideMark/>
          </w:tcPr>
          <w:p w14:paraId="24F86B4B" w14:textId="40BAF3B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256,167</w:t>
            </w:r>
          </w:p>
        </w:tc>
        <w:tc>
          <w:tcPr>
            <w:tcW w:w="618" w:type="pct"/>
            <w:shd w:val="clear" w:color="000000" w:fill="4F81BD"/>
            <w:vAlign w:val="center"/>
            <w:hideMark/>
          </w:tcPr>
          <w:p w14:paraId="6938D1D1" w14:textId="1381FC5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8,833</w:t>
            </w:r>
          </w:p>
        </w:tc>
        <w:tc>
          <w:tcPr>
            <w:tcW w:w="618" w:type="pct"/>
            <w:shd w:val="clear" w:color="000000" w:fill="4F81BD"/>
            <w:vAlign w:val="center"/>
            <w:hideMark/>
          </w:tcPr>
          <w:p w14:paraId="43D63A42" w14:textId="1333E27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485,833</w:t>
            </w:r>
          </w:p>
        </w:tc>
        <w:tc>
          <w:tcPr>
            <w:tcW w:w="619" w:type="pct"/>
            <w:shd w:val="clear" w:color="000000" w:fill="4F81BD"/>
            <w:vAlign w:val="center"/>
            <w:hideMark/>
          </w:tcPr>
          <w:p w14:paraId="0C85CF12" w14:textId="1B7490C2"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485,833</w:t>
            </w:r>
          </w:p>
        </w:tc>
      </w:tr>
      <w:tr w:rsidR="00D61677" w:rsidRPr="003B7009" w14:paraId="2BFDE8F9" w14:textId="77777777" w:rsidTr="00D61677">
        <w:trPr>
          <w:trHeight w:val="20"/>
        </w:trPr>
        <w:tc>
          <w:tcPr>
            <w:tcW w:w="1289" w:type="pct"/>
            <w:shd w:val="clear" w:color="000000" w:fill="95B3D7"/>
            <w:vAlign w:val="center"/>
            <w:hideMark/>
          </w:tcPr>
          <w:p w14:paraId="4880E211"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17.1 AMD: Aid Management</w:t>
            </w:r>
          </w:p>
        </w:tc>
        <w:tc>
          <w:tcPr>
            <w:tcW w:w="618" w:type="pct"/>
            <w:shd w:val="clear" w:color="000000" w:fill="95B3D7"/>
            <w:vAlign w:val="center"/>
            <w:hideMark/>
          </w:tcPr>
          <w:p w14:paraId="136D70A8" w14:textId="50057BA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6887A5A2" w14:textId="41F0773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220,833</w:t>
            </w:r>
          </w:p>
        </w:tc>
        <w:tc>
          <w:tcPr>
            <w:tcW w:w="619" w:type="pct"/>
            <w:shd w:val="clear" w:color="000000" w:fill="95B3D7"/>
            <w:vAlign w:val="center"/>
            <w:hideMark/>
          </w:tcPr>
          <w:p w14:paraId="36EA386E" w14:textId="73F1BE1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256,167</w:t>
            </w:r>
          </w:p>
        </w:tc>
        <w:tc>
          <w:tcPr>
            <w:tcW w:w="618" w:type="pct"/>
            <w:shd w:val="clear" w:color="000000" w:fill="95B3D7"/>
            <w:vAlign w:val="center"/>
            <w:hideMark/>
          </w:tcPr>
          <w:p w14:paraId="5283A21C" w14:textId="240A989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8,833</w:t>
            </w:r>
          </w:p>
        </w:tc>
        <w:tc>
          <w:tcPr>
            <w:tcW w:w="618" w:type="pct"/>
            <w:shd w:val="clear" w:color="000000" w:fill="95B3D7"/>
            <w:vAlign w:val="center"/>
            <w:hideMark/>
          </w:tcPr>
          <w:p w14:paraId="1EEEF752" w14:textId="2AC449A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485,833</w:t>
            </w:r>
          </w:p>
        </w:tc>
        <w:tc>
          <w:tcPr>
            <w:tcW w:w="619" w:type="pct"/>
            <w:shd w:val="clear" w:color="000000" w:fill="95B3D7"/>
            <w:vAlign w:val="center"/>
            <w:hideMark/>
          </w:tcPr>
          <w:p w14:paraId="5092D4E3" w14:textId="52AA68F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485,833</w:t>
            </w:r>
          </w:p>
        </w:tc>
      </w:tr>
      <w:tr w:rsidR="00D61677" w:rsidRPr="003B7009" w14:paraId="6711CB7C" w14:textId="77777777" w:rsidTr="00D61677">
        <w:trPr>
          <w:trHeight w:val="20"/>
        </w:trPr>
        <w:tc>
          <w:tcPr>
            <w:tcW w:w="1289" w:type="pct"/>
            <w:shd w:val="clear" w:color="auto" w:fill="auto"/>
            <w:vAlign w:val="center"/>
            <w:hideMark/>
          </w:tcPr>
          <w:p w14:paraId="46DF707F"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04EBA264" w14:textId="6E8961D5"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EC1792B" w14:textId="277B18A0"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3F525238" w14:textId="386C697F"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542901E3" w14:textId="32180FE5"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443A4F9C" w14:textId="2846EAC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0C0CEDF7" w14:textId="43A8BF1C" w:rsidR="003B7009" w:rsidRPr="003B7009" w:rsidRDefault="003B7009" w:rsidP="00D61677">
            <w:pPr>
              <w:jc w:val="right"/>
              <w:rPr>
                <w:rFonts w:asciiTheme="minorHAnsi" w:hAnsiTheme="minorHAnsi"/>
                <w:sz w:val="16"/>
                <w:szCs w:val="16"/>
              </w:rPr>
            </w:pPr>
          </w:p>
        </w:tc>
      </w:tr>
      <w:tr w:rsidR="00D61677" w:rsidRPr="003B7009" w14:paraId="167BE07F" w14:textId="77777777" w:rsidTr="00D61677">
        <w:trPr>
          <w:trHeight w:val="20"/>
        </w:trPr>
        <w:tc>
          <w:tcPr>
            <w:tcW w:w="1289" w:type="pct"/>
            <w:shd w:val="clear" w:color="000000" w:fill="4F81BD"/>
            <w:vAlign w:val="center"/>
            <w:hideMark/>
          </w:tcPr>
          <w:p w14:paraId="30B83B13"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18.0 Office of the President</w:t>
            </w:r>
          </w:p>
        </w:tc>
        <w:tc>
          <w:tcPr>
            <w:tcW w:w="618" w:type="pct"/>
            <w:shd w:val="clear" w:color="000000" w:fill="4F81BD"/>
            <w:vAlign w:val="center"/>
            <w:hideMark/>
          </w:tcPr>
          <w:p w14:paraId="26BF1861" w14:textId="445AFC0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0C16F7DD" w14:textId="5788490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175,000</w:t>
            </w:r>
          </w:p>
        </w:tc>
        <w:tc>
          <w:tcPr>
            <w:tcW w:w="619" w:type="pct"/>
            <w:shd w:val="clear" w:color="000000" w:fill="4F81BD"/>
            <w:vAlign w:val="center"/>
            <w:hideMark/>
          </w:tcPr>
          <w:p w14:paraId="682F9CB8" w14:textId="0575463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203,000</w:t>
            </w:r>
          </w:p>
        </w:tc>
        <w:tc>
          <w:tcPr>
            <w:tcW w:w="618" w:type="pct"/>
            <w:shd w:val="clear" w:color="000000" w:fill="4F81BD"/>
            <w:vAlign w:val="center"/>
            <w:hideMark/>
          </w:tcPr>
          <w:p w14:paraId="059C2AF8" w14:textId="4C5F2C1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7,000</w:t>
            </w:r>
          </w:p>
        </w:tc>
        <w:tc>
          <w:tcPr>
            <w:tcW w:w="618" w:type="pct"/>
            <w:shd w:val="clear" w:color="000000" w:fill="4F81BD"/>
            <w:vAlign w:val="center"/>
            <w:hideMark/>
          </w:tcPr>
          <w:p w14:paraId="532923B1" w14:textId="17CF0AE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385,000</w:t>
            </w:r>
          </w:p>
        </w:tc>
        <w:tc>
          <w:tcPr>
            <w:tcW w:w="619" w:type="pct"/>
            <w:shd w:val="clear" w:color="000000" w:fill="4F81BD"/>
            <w:vAlign w:val="center"/>
            <w:hideMark/>
          </w:tcPr>
          <w:p w14:paraId="6C4B0E98" w14:textId="7281AB0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385,000</w:t>
            </w:r>
          </w:p>
        </w:tc>
      </w:tr>
      <w:tr w:rsidR="00D61677" w:rsidRPr="003B7009" w14:paraId="0A30F310" w14:textId="77777777" w:rsidTr="00D61677">
        <w:trPr>
          <w:trHeight w:val="20"/>
        </w:trPr>
        <w:tc>
          <w:tcPr>
            <w:tcW w:w="1289" w:type="pct"/>
            <w:shd w:val="clear" w:color="000000" w:fill="95B3D7"/>
            <w:vAlign w:val="center"/>
            <w:hideMark/>
          </w:tcPr>
          <w:p w14:paraId="2960249B"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18.1 National Procurement Authority (NPA)</w:t>
            </w:r>
          </w:p>
        </w:tc>
        <w:tc>
          <w:tcPr>
            <w:tcW w:w="618" w:type="pct"/>
            <w:shd w:val="clear" w:color="000000" w:fill="95B3D7"/>
            <w:vAlign w:val="center"/>
            <w:hideMark/>
          </w:tcPr>
          <w:p w14:paraId="68691830" w14:textId="00467D7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22D1C706" w14:textId="72FE9293"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175,000</w:t>
            </w:r>
          </w:p>
        </w:tc>
        <w:tc>
          <w:tcPr>
            <w:tcW w:w="619" w:type="pct"/>
            <w:shd w:val="clear" w:color="000000" w:fill="95B3D7"/>
            <w:vAlign w:val="center"/>
            <w:hideMark/>
          </w:tcPr>
          <w:p w14:paraId="64CD05FF" w14:textId="3BDCB9D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203,000</w:t>
            </w:r>
          </w:p>
        </w:tc>
        <w:tc>
          <w:tcPr>
            <w:tcW w:w="618" w:type="pct"/>
            <w:shd w:val="clear" w:color="000000" w:fill="95B3D7"/>
            <w:vAlign w:val="center"/>
            <w:hideMark/>
          </w:tcPr>
          <w:p w14:paraId="286BF928" w14:textId="665B030B"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7,000</w:t>
            </w:r>
          </w:p>
        </w:tc>
        <w:tc>
          <w:tcPr>
            <w:tcW w:w="618" w:type="pct"/>
            <w:shd w:val="clear" w:color="000000" w:fill="95B3D7"/>
            <w:vAlign w:val="center"/>
            <w:hideMark/>
          </w:tcPr>
          <w:p w14:paraId="51422E20" w14:textId="72DB7F1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385,000</w:t>
            </w:r>
          </w:p>
        </w:tc>
        <w:tc>
          <w:tcPr>
            <w:tcW w:w="619" w:type="pct"/>
            <w:shd w:val="clear" w:color="000000" w:fill="95B3D7"/>
            <w:vAlign w:val="center"/>
            <w:hideMark/>
          </w:tcPr>
          <w:p w14:paraId="72F05D1C" w14:textId="3503DE6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385,000</w:t>
            </w:r>
          </w:p>
        </w:tc>
      </w:tr>
      <w:tr w:rsidR="00D61677" w:rsidRPr="003B7009" w14:paraId="1F0A383E" w14:textId="77777777" w:rsidTr="00D61677">
        <w:trPr>
          <w:trHeight w:val="20"/>
        </w:trPr>
        <w:tc>
          <w:tcPr>
            <w:tcW w:w="1289" w:type="pct"/>
            <w:shd w:val="clear" w:color="auto" w:fill="auto"/>
            <w:vAlign w:val="center"/>
            <w:hideMark/>
          </w:tcPr>
          <w:p w14:paraId="12E951E8"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 </w:t>
            </w:r>
          </w:p>
        </w:tc>
        <w:tc>
          <w:tcPr>
            <w:tcW w:w="618" w:type="pct"/>
            <w:shd w:val="clear" w:color="auto" w:fill="auto"/>
            <w:vAlign w:val="center"/>
            <w:hideMark/>
          </w:tcPr>
          <w:p w14:paraId="1BF7E163" w14:textId="7078C03B"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0F8E5DF9" w14:textId="63737FF5" w:rsidR="003B7009" w:rsidRPr="003B7009" w:rsidRDefault="003B7009" w:rsidP="00D61677">
            <w:pPr>
              <w:jc w:val="right"/>
              <w:rPr>
                <w:rFonts w:asciiTheme="minorHAnsi" w:hAnsiTheme="minorHAnsi"/>
                <w:sz w:val="16"/>
                <w:szCs w:val="16"/>
              </w:rPr>
            </w:pPr>
          </w:p>
        </w:tc>
        <w:tc>
          <w:tcPr>
            <w:tcW w:w="619" w:type="pct"/>
            <w:shd w:val="clear" w:color="auto" w:fill="auto"/>
            <w:vAlign w:val="center"/>
            <w:hideMark/>
          </w:tcPr>
          <w:p w14:paraId="63B7C61D" w14:textId="6100C2D4"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1C382A44" w14:textId="753F1D46" w:rsidR="003B7009" w:rsidRPr="003B7009" w:rsidRDefault="003B7009" w:rsidP="00D61677">
            <w:pPr>
              <w:jc w:val="right"/>
              <w:rPr>
                <w:rFonts w:asciiTheme="minorHAnsi" w:hAnsiTheme="minorHAnsi"/>
                <w:sz w:val="16"/>
                <w:szCs w:val="16"/>
              </w:rPr>
            </w:pPr>
          </w:p>
        </w:tc>
        <w:tc>
          <w:tcPr>
            <w:tcW w:w="618" w:type="pct"/>
            <w:shd w:val="clear" w:color="auto" w:fill="auto"/>
            <w:vAlign w:val="center"/>
            <w:hideMark/>
          </w:tcPr>
          <w:p w14:paraId="31BA437A" w14:textId="155D394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9" w:type="pct"/>
            <w:shd w:val="clear" w:color="auto" w:fill="auto"/>
            <w:vAlign w:val="center"/>
            <w:hideMark/>
          </w:tcPr>
          <w:p w14:paraId="51BB71D1" w14:textId="346AA7A4" w:rsidR="003B7009" w:rsidRPr="003B7009" w:rsidRDefault="003B7009" w:rsidP="00D61677">
            <w:pPr>
              <w:jc w:val="right"/>
              <w:rPr>
                <w:rFonts w:asciiTheme="minorHAnsi" w:hAnsiTheme="minorHAnsi"/>
                <w:sz w:val="16"/>
                <w:szCs w:val="16"/>
              </w:rPr>
            </w:pPr>
          </w:p>
        </w:tc>
      </w:tr>
      <w:tr w:rsidR="00D61677" w:rsidRPr="003B7009" w14:paraId="679B4658" w14:textId="77777777" w:rsidTr="00D61677">
        <w:trPr>
          <w:trHeight w:val="20"/>
        </w:trPr>
        <w:tc>
          <w:tcPr>
            <w:tcW w:w="1289" w:type="pct"/>
            <w:shd w:val="clear" w:color="000000" w:fill="4F81BD"/>
            <w:vAlign w:val="center"/>
            <w:hideMark/>
          </w:tcPr>
          <w:p w14:paraId="661C69C7"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19.0 Other Partner Agencies</w:t>
            </w:r>
          </w:p>
        </w:tc>
        <w:tc>
          <w:tcPr>
            <w:tcW w:w="618" w:type="pct"/>
            <w:shd w:val="clear" w:color="000000" w:fill="4F81BD"/>
            <w:vAlign w:val="center"/>
            <w:hideMark/>
          </w:tcPr>
          <w:p w14:paraId="6B12ED87" w14:textId="0FE2C61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4F81BD"/>
            <w:vAlign w:val="center"/>
            <w:hideMark/>
          </w:tcPr>
          <w:p w14:paraId="502F4602" w14:textId="3E4D936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41,667</w:t>
            </w:r>
          </w:p>
        </w:tc>
        <w:tc>
          <w:tcPr>
            <w:tcW w:w="619" w:type="pct"/>
            <w:shd w:val="clear" w:color="000000" w:fill="4F81BD"/>
            <w:vAlign w:val="center"/>
            <w:hideMark/>
          </w:tcPr>
          <w:p w14:paraId="409D9F35" w14:textId="3A3A4144"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48,333</w:t>
            </w:r>
          </w:p>
        </w:tc>
        <w:tc>
          <w:tcPr>
            <w:tcW w:w="618" w:type="pct"/>
            <w:shd w:val="clear" w:color="000000" w:fill="4F81BD"/>
            <w:vAlign w:val="center"/>
            <w:hideMark/>
          </w:tcPr>
          <w:p w14:paraId="79F17DFB" w14:textId="0751590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1,667</w:t>
            </w:r>
          </w:p>
        </w:tc>
        <w:tc>
          <w:tcPr>
            <w:tcW w:w="618" w:type="pct"/>
            <w:shd w:val="clear" w:color="000000" w:fill="4F81BD"/>
            <w:vAlign w:val="center"/>
            <w:hideMark/>
          </w:tcPr>
          <w:p w14:paraId="407AFC32" w14:textId="2733238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91,667</w:t>
            </w:r>
          </w:p>
        </w:tc>
        <w:tc>
          <w:tcPr>
            <w:tcW w:w="619" w:type="pct"/>
            <w:shd w:val="clear" w:color="000000" w:fill="4F81BD"/>
            <w:vAlign w:val="center"/>
            <w:hideMark/>
          </w:tcPr>
          <w:p w14:paraId="4929E74D" w14:textId="49EF73D8"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91,667</w:t>
            </w:r>
          </w:p>
        </w:tc>
      </w:tr>
      <w:tr w:rsidR="00D61677" w:rsidRPr="003B7009" w14:paraId="7D1E067C" w14:textId="77777777" w:rsidTr="00D61677">
        <w:trPr>
          <w:trHeight w:val="20"/>
        </w:trPr>
        <w:tc>
          <w:tcPr>
            <w:tcW w:w="1289" w:type="pct"/>
            <w:shd w:val="clear" w:color="000000" w:fill="95B3D7"/>
            <w:vAlign w:val="center"/>
            <w:hideMark/>
          </w:tcPr>
          <w:p w14:paraId="4AE681D9"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19.1 AEITI Secretariat</w:t>
            </w:r>
          </w:p>
        </w:tc>
        <w:tc>
          <w:tcPr>
            <w:tcW w:w="618" w:type="pct"/>
            <w:shd w:val="clear" w:color="000000" w:fill="95B3D7"/>
            <w:vAlign w:val="center"/>
            <w:hideMark/>
          </w:tcPr>
          <w:p w14:paraId="0810408C" w14:textId="01D346D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w:t>
            </w:r>
          </w:p>
        </w:tc>
        <w:tc>
          <w:tcPr>
            <w:tcW w:w="618" w:type="pct"/>
            <w:shd w:val="clear" w:color="000000" w:fill="95B3D7"/>
            <w:vAlign w:val="center"/>
            <w:hideMark/>
          </w:tcPr>
          <w:p w14:paraId="7288DEBF" w14:textId="36D337F5"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41,667</w:t>
            </w:r>
          </w:p>
        </w:tc>
        <w:tc>
          <w:tcPr>
            <w:tcW w:w="619" w:type="pct"/>
            <w:shd w:val="clear" w:color="000000" w:fill="95B3D7"/>
            <w:vAlign w:val="center"/>
            <w:hideMark/>
          </w:tcPr>
          <w:p w14:paraId="07D645D1" w14:textId="0FEEF457"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48,333</w:t>
            </w:r>
          </w:p>
        </w:tc>
        <w:tc>
          <w:tcPr>
            <w:tcW w:w="618" w:type="pct"/>
            <w:shd w:val="clear" w:color="000000" w:fill="95B3D7"/>
            <w:vAlign w:val="center"/>
            <w:hideMark/>
          </w:tcPr>
          <w:p w14:paraId="4241234A" w14:textId="13A52D00"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1,667</w:t>
            </w:r>
          </w:p>
        </w:tc>
        <w:tc>
          <w:tcPr>
            <w:tcW w:w="618" w:type="pct"/>
            <w:shd w:val="clear" w:color="000000" w:fill="95B3D7"/>
            <w:vAlign w:val="center"/>
            <w:hideMark/>
          </w:tcPr>
          <w:p w14:paraId="57F3A8D8" w14:textId="2701BF2A"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91,667</w:t>
            </w:r>
          </w:p>
        </w:tc>
        <w:tc>
          <w:tcPr>
            <w:tcW w:w="619" w:type="pct"/>
            <w:shd w:val="clear" w:color="000000" w:fill="95B3D7"/>
            <w:vAlign w:val="center"/>
            <w:hideMark/>
          </w:tcPr>
          <w:p w14:paraId="39A153F1" w14:textId="146CD4CF"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91,667</w:t>
            </w:r>
          </w:p>
        </w:tc>
      </w:tr>
      <w:tr w:rsidR="00D61677" w:rsidRPr="003B7009" w14:paraId="4549620E" w14:textId="77777777" w:rsidTr="00D61677">
        <w:trPr>
          <w:trHeight w:val="20"/>
        </w:trPr>
        <w:tc>
          <w:tcPr>
            <w:tcW w:w="1289" w:type="pct"/>
            <w:shd w:val="clear" w:color="000000" w:fill="1F497D"/>
            <w:vAlign w:val="center"/>
            <w:hideMark/>
          </w:tcPr>
          <w:p w14:paraId="03EBBD42" w14:textId="77777777" w:rsidR="003B7009" w:rsidRPr="003B7009" w:rsidRDefault="003B7009" w:rsidP="003B7009">
            <w:pPr>
              <w:rPr>
                <w:rFonts w:asciiTheme="minorHAnsi" w:hAnsiTheme="minorHAnsi"/>
                <w:sz w:val="16"/>
                <w:szCs w:val="16"/>
              </w:rPr>
            </w:pPr>
            <w:r w:rsidRPr="003B7009">
              <w:rPr>
                <w:rFonts w:asciiTheme="minorHAnsi" w:hAnsiTheme="minorHAnsi"/>
                <w:sz w:val="16"/>
                <w:szCs w:val="16"/>
              </w:rPr>
              <w:t>Grand Total</w:t>
            </w:r>
          </w:p>
        </w:tc>
        <w:tc>
          <w:tcPr>
            <w:tcW w:w="618" w:type="pct"/>
            <w:shd w:val="clear" w:color="000000" w:fill="1F497D"/>
            <w:vAlign w:val="center"/>
            <w:hideMark/>
          </w:tcPr>
          <w:p w14:paraId="05C84A59" w14:textId="04A840A1"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1,000,000</w:t>
            </w:r>
          </w:p>
        </w:tc>
        <w:tc>
          <w:tcPr>
            <w:tcW w:w="618" w:type="pct"/>
            <w:shd w:val="clear" w:color="000000" w:fill="1F497D"/>
            <w:vAlign w:val="center"/>
            <w:hideMark/>
          </w:tcPr>
          <w:p w14:paraId="6FD8E2BD" w14:textId="66876D66"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10,414,167</w:t>
            </w:r>
          </w:p>
        </w:tc>
        <w:tc>
          <w:tcPr>
            <w:tcW w:w="619" w:type="pct"/>
            <w:shd w:val="clear" w:color="000000" w:fill="1F497D"/>
            <w:vAlign w:val="center"/>
            <w:hideMark/>
          </w:tcPr>
          <w:p w14:paraId="6E7F6584" w14:textId="2808507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14,580,433</w:t>
            </w:r>
          </w:p>
        </w:tc>
        <w:tc>
          <w:tcPr>
            <w:tcW w:w="618" w:type="pct"/>
            <w:shd w:val="clear" w:color="000000" w:fill="1F497D"/>
            <w:vAlign w:val="center"/>
            <w:hideMark/>
          </w:tcPr>
          <w:p w14:paraId="286678B5" w14:textId="31F7DF39"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7,316,567</w:t>
            </w:r>
          </w:p>
        </w:tc>
        <w:tc>
          <w:tcPr>
            <w:tcW w:w="618" w:type="pct"/>
            <w:shd w:val="clear" w:color="000000" w:fill="1F497D"/>
            <w:vAlign w:val="center"/>
            <w:hideMark/>
          </w:tcPr>
          <w:p w14:paraId="7E31860D" w14:textId="6959054C"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99,236,833</w:t>
            </w:r>
          </w:p>
        </w:tc>
        <w:tc>
          <w:tcPr>
            <w:tcW w:w="619" w:type="pct"/>
            <w:shd w:val="clear" w:color="000000" w:fill="1F497D"/>
            <w:vAlign w:val="center"/>
            <w:hideMark/>
          </w:tcPr>
          <w:p w14:paraId="4CF099CE" w14:textId="2CD724ED" w:rsidR="003B7009" w:rsidRPr="003B7009" w:rsidRDefault="003B7009" w:rsidP="00D61677">
            <w:pPr>
              <w:jc w:val="right"/>
              <w:rPr>
                <w:rFonts w:asciiTheme="minorHAnsi" w:hAnsiTheme="minorHAnsi"/>
                <w:sz w:val="16"/>
                <w:szCs w:val="16"/>
              </w:rPr>
            </w:pPr>
            <w:r w:rsidRPr="003B7009">
              <w:rPr>
                <w:rFonts w:asciiTheme="minorHAnsi" w:hAnsiTheme="minorHAnsi"/>
                <w:sz w:val="16"/>
                <w:szCs w:val="16"/>
              </w:rPr>
              <w:t>24,911,167</w:t>
            </w:r>
          </w:p>
        </w:tc>
      </w:tr>
    </w:tbl>
    <w:p w14:paraId="3A691638" w14:textId="423312F6" w:rsidR="0066493F" w:rsidRDefault="0066493F" w:rsidP="003B7009">
      <w:pPr>
        <w:rPr>
          <w:lang w:val="en-GB" w:eastAsia="ja-JP"/>
        </w:rPr>
      </w:pPr>
    </w:p>
    <w:p w14:paraId="3C6B37C4" w14:textId="77777777" w:rsidR="0066493F" w:rsidRDefault="0066493F">
      <w:pPr>
        <w:spacing w:after="200" w:line="312" w:lineRule="auto"/>
        <w:rPr>
          <w:lang w:val="en-GB" w:eastAsia="ja-JP"/>
        </w:rPr>
      </w:pPr>
      <w:r>
        <w:rPr>
          <w:lang w:val="en-GB" w:eastAsia="ja-JP"/>
        </w:rPr>
        <w:br w:type="page"/>
      </w:r>
    </w:p>
    <w:p w14:paraId="468C6656" w14:textId="5A2A54A6" w:rsidR="0066493F" w:rsidRPr="0066493F" w:rsidRDefault="0066493F" w:rsidP="0066493F">
      <w:pPr>
        <w:pStyle w:val="TableHeader1"/>
      </w:pPr>
      <w:bookmarkStart w:id="93" w:name="_Toc457162647"/>
      <w:r>
        <w:lastRenderedPageBreak/>
        <w:t>Medium Term Costings by Economic Classification (US$)</w:t>
      </w:r>
      <w:bookmarkEnd w:id="93"/>
    </w:p>
    <w:p w14:paraId="0666E0FE" w14:textId="77777777" w:rsidR="003B7009" w:rsidRPr="003B7009" w:rsidRDefault="003B7009" w:rsidP="003B7009">
      <w:pPr>
        <w:rPr>
          <w:lang w:val="en-GB" w:eastAsia="ja-JP"/>
        </w:rPr>
      </w:pPr>
    </w:p>
    <w:tbl>
      <w:tblPr>
        <w:tblW w:w="56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154"/>
        <w:gridCol w:w="1156"/>
        <w:gridCol w:w="1153"/>
        <w:gridCol w:w="1155"/>
        <w:gridCol w:w="1153"/>
        <w:gridCol w:w="1155"/>
      </w:tblGrid>
      <w:tr w:rsidR="00E55BC6" w:rsidRPr="00E55BC6" w14:paraId="740245AB" w14:textId="77777777" w:rsidTr="0066493F">
        <w:trPr>
          <w:trHeight w:val="20"/>
        </w:trPr>
        <w:tc>
          <w:tcPr>
            <w:tcW w:w="1270" w:type="pct"/>
            <w:shd w:val="clear" w:color="auto" w:fill="75BB6E" w:themeFill="accent4"/>
            <w:noWrap/>
            <w:vAlign w:val="center"/>
            <w:hideMark/>
          </w:tcPr>
          <w:p w14:paraId="7D7C4F72" w14:textId="77777777"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Item</w:t>
            </w:r>
          </w:p>
        </w:tc>
        <w:tc>
          <w:tcPr>
            <w:tcW w:w="621" w:type="pct"/>
            <w:shd w:val="clear" w:color="auto" w:fill="75BB6E" w:themeFill="accent4"/>
            <w:noWrap/>
            <w:vAlign w:val="center"/>
            <w:hideMark/>
          </w:tcPr>
          <w:p w14:paraId="001C0ADD" w14:textId="77777777" w:rsidR="00E55BC6" w:rsidRPr="00E55BC6" w:rsidRDefault="00E55BC6" w:rsidP="003B7009">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1395/</w:t>
            </w:r>
          </w:p>
          <w:p w14:paraId="2500CA1E" w14:textId="3615DF15" w:rsidR="003B7009" w:rsidRPr="003B7009" w:rsidRDefault="003B7009" w:rsidP="003B7009">
            <w:pPr>
              <w:jc w:val="center"/>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2016</w:t>
            </w:r>
          </w:p>
        </w:tc>
        <w:tc>
          <w:tcPr>
            <w:tcW w:w="622" w:type="pct"/>
            <w:shd w:val="clear" w:color="auto" w:fill="75BB6E" w:themeFill="accent4"/>
            <w:noWrap/>
            <w:vAlign w:val="center"/>
            <w:hideMark/>
          </w:tcPr>
          <w:p w14:paraId="33BE9ECF" w14:textId="77777777" w:rsidR="00E55BC6" w:rsidRPr="00E55BC6" w:rsidRDefault="00E55BC6" w:rsidP="003B7009">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1396/</w:t>
            </w:r>
          </w:p>
          <w:p w14:paraId="2A56A48F" w14:textId="5CF8115A" w:rsidR="003B7009" w:rsidRPr="003B7009" w:rsidRDefault="003B7009" w:rsidP="003B7009">
            <w:pPr>
              <w:jc w:val="center"/>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2017</w:t>
            </w:r>
          </w:p>
        </w:tc>
        <w:tc>
          <w:tcPr>
            <w:tcW w:w="621" w:type="pct"/>
            <w:shd w:val="clear" w:color="auto" w:fill="75BB6E" w:themeFill="accent4"/>
            <w:noWrap/>
            <w:vAlign w:val="center"/>
            <w:hideMark/>
          </w:tcPr>
          <w:p w14:paraId="0B4B12EE" w14:textId="77777777" w:rsidR="00E55BC6" w:rsidRPr="00E55BC6" w:rsidRDefault="00E55BC6" w:rsidP="003B7009">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1397/</w:t>
            </w:r>
          </w:p>
          <w:p w14:paraId="58F3DC9C" w14:textId="0A7A2787" w:rsidR="003B7009" w:rsidRPr="003B7009" w:rsidRDefault="003B7009" w:rsidP="003B7009">
            <w:pPr>
              <w:jc w:val="center"/>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2018</w:t>
            </w:r>
          </w:p>
        </w:tc>
        <w:tc>
          <w:tcPr>
            <w:tcW w:w="622" w:type="pct"/>
            <w:shd w:val="clear" w:color="auto" w:fill="75BB6E" w:themeFill="accent4"/>
            <w:noWrap/>
            <w:vAlign w:val="center"/>
            <w:hideMark/>
          </w:tcPr>
          <w:p w14:paraId="2E2A746C" w14:textId="77777777" w:rsidR="00E55BC6" w:rsidRPr="00E55BC6" w:rsidRDefault="00E55BC6" w:rsidP="003B7009">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1398/</w:t>
            </w:r>
          </w:p>
          <w:p w14:paraId="1E6344A2" w14:textId="40F26571" w:rsidR="003B7009" w:rsidRPr="003B7009" w:rsidRDefault="003B7009" w:rsidP="003B7009">
            <w:pPr>
              <w:jc w:val="center"/>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2019</w:t>
            </w:r>
          </w:p>
        </w:tc>
        <w:tc>
          <w:tcPr>
            <w:tcW w:w="621" w:type="pct"/>
            <w:shd w:val="clear" w:color="auto" w:fill="75BB6E" w:themeFill="accent4"/>
            <w:noWrap/>
            <w:vAlign w:val="center"/>
            <w:hideMark/>
          </w:tcPr>
          <w:p w14:paraId="697AE2DE" w14:textId="77777777" w:rsidR="00E55BC6" w:rsidRPr="00E55BC6" w:rsidRDefault="00E55BC6" w:rsidP="003B7009">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1399/</w:t>
            </w:r>
          </w:p>
          <w:p w14:paraId="614CCD45" w14:textId="3DE73221" w:rsidR="003B7009" w:rsidRPr="003B7009" w:rsidRDefault="003B7009" w:rsidP="003B7009">
            <w:pPr>
              <w:jc w:val="center"/>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2020</w:t>
            </w:r>
          </w:p>
        </w:tc>
        <w:tc>
          <w:tcPr>
            <w:tcW w:w="622" w:type="pct"/>
            <w:shd w:val="clear" w:color="auto" w:fill="75BB6E" w:themeFill="accent4"/>
            <w:noWrap/>
            <w:vAlign w:val="center"/>
            <w:hideMark/>
          </w:tcPr>
          <w:p w14:paraId="5A6BC8C6" w14:textId="77777777" w:rsidR="003B7009" w:rsidRPr="003B7009" w:rsidRDefault="003B7009" w:rsidP="003B7009">
            <w:pPr>
              <w:jc w:val="center"/>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Total</w:t>
            </w:r>
          </w:p>
        </w:tc>
      </w:tr>
      <w:tr w:rsidR="00E55BC6" w:rsidRPr="003B7009" w14:paraId="31E8B2EA" w14:textId="77777777" w:rsidTr="0066493F">
        <w:trPr>
          <w:trHeight w:val="20"/>
        </w:trPr>
        <w:tc>
          <w:tcPr>
            <w:tcW w:w="1270" w:type="pct"/>
            <w:shd w:val="clear" w:color="auto" w:fill="FFFFFF" w:themeFill="background1"/>
            <w:vAlign w:val="center"/>
            <w:hideMark/>
          </w:tcPr>
          <w:p w14:paraId="1637A6FC" w14:textId="24F5BA8B"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 xml:space="preserve">Emp. Compensation </w:t>
            </w:r>
          </w:p>
        </w:tc>
        <w:tc>
          <w:tcPr>
            <w:tcW w:w="621" w:type="pct"/>
            <w:shd w:val="clear" w:color="auto" w:fill="FFFFFF" w:themeFill="background1"/>
            <w:noWrap/>
            <w:vAlign w:val="center"/>
            <w:hideMark/>
          </w:tcPr>
          <w:p w14:paraId="700DE0BE" w14:textId="31F14B0F"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600,000</w:t>
            </w:r>
          </w:p>
        </w:tc>
        <w:tc>
          <w:tcPr>
            <w:tcW w:w="622" w:type="pct"/>
            <w:shd w:val="clear" w:color="auto" w:fill="FFFFFF" w:themeFill="background1"/>
            <w:noWrap/>
            <w:vAlign w:val="center"/>
            <w:hideMark/>
          </w:tcPr>
          <w:p w14:paraId="5F73D900" w14:textId="74B3650F"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848,000</w:t>
            </w:r>
          </w:p>
        </w:tc>
        <w:tc>
          <w:tcPr>
            <w:tcW w:w="621" w:type="pct"/>
            <w:shd w:val="clear" w:color="auto" w:fill="FFFFFF" w:themeFill="background1"/>
            <w:noWrap/>
            <w:vAlign w:val="center"/>
            <w:hideMark/>
          </w:tcPr>
          <w:p w14:paraId="7A58B820" w14:textId="124F76B9"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1,123,600</w:t>
            </w:r>
          </w:p>
        </w:tc>
        <w:tc>
          <w:tcPr>
            <w:tcW w:w="622" w:type="pct"/>
            <w:shd w:val="clear" w:color="auto" w:fill="FFFFFF" w:themeFill="background1"/>
            <w:noWrap/>
            <w:vAlign w:val="center"/>
            <w:hideMark/>
          </w:tcPr>
          <w:p w14:paraId="389CAFBE" w14:textId="25616312"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1,191,016</w:t>
            </w:r>
          </w:p>
        </w:tc>
        <w:tc>
          <w:tcPr>
            <w:tcW w:w="621" w:type="pct"/>
            <w:shd w:val="clear" w:color="auto" w:fill="FFFFFF" w:themeFill="background1"/>
            <w:noWrap/>
            <w:vAlign w:val="center"/>
            <w:hideMark/>
          </w:tcPr>
          <w:p w14:paraId="6E0ED946" w14:textId="1828B520"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1,262,477</w:t>
            </w:r>
          </w:p>
        </w:tc>
        <w:tc>
          <w:tcPr>
            <w:tcW w:w="622" w:type="pct"/>
            <w:shd w:val="clear" w:color="auto" w:fill="FFFFFF" w:themeFill="background1"/>
            <w:noWrap/>
            <w:vAlign w:val="center"/>
            <w:hideMark/>
          </w:tcPr>
          <w:p w14:paraId="4AB236AF" w14:textId="3260CA5F"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5,025,093</w:t>
            </w:r>
          </w:p>
        </w:tc>
      </w:tr>
      <w:tr w:rsidR="00E55BC6" w:rsidRPr="003B7009" w14:paraId="122FBC0C" w14:textId="77777777" w:rsidTr="0066493F">
        <w:trPr>
          <w:trHeight w:val="20"/>
        </w:trPr>
        <w:tc>
          <w:tcPr>
            <w:tcW w:w="1270" w:type="pct"/>
            <w:shd w:val="clear" w:color="auto" w:fill="FFFFFF" w:themeFill="background1"/>
            <w:vAlign w:val="center"/>
            <w:hideMark/>
          </w:tcPr>
          <w:p w14:paraId="47247E98" w14:textId="63E2F2AE"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 xml:space="preserve">TA Compensation </w:t>
            </w:r>
          </w:p>
        </w:tc>
        <w:tc>
          <w:tcPr>
            <w:tcW w:w="621" w:type="pct"/>
            <w:shd w:val="clear" w:color="auto" w:fill="FFFFFF" w:themeFill="background1"/>
            <w:noWrap/>
            <w:vAlign w:val="center"/>
            <w:hideMark/>
          </w:tcPr>
          <w:p w14:paraId="5E1960EA" w14:textId="39122AC0"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6,248,500</w:t>
            </w:r>
          </w:p>
        </w:tc>
        <w:tc>
          <w:tcPr>
            <w:tcW w:w="622" w:type="pct"/>
            <w:shd w:val="clear" w:color="auto" w:fill="FFFFFF" w:themeFill="background1"/>
            <w:noWrap/>
            <w:vAlign w:val="center"/>
            <w:hideMark/>
          </w:tcPr>
          <w:p w14:paraId="0EA7C6BB" w14:textId="13156F2D"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8,831,213</w:t>
            </w:r>
          </w:p>
        </w:tc>
        <w:tc>
          <w:tcPr>
            <w:tcW w:w="621" w:type="pct"/>
            <w:shd w:val="clear" w:color="auto" w:fill="FFFFFF" w:themeFill="background1"/>
            <w:noWrap/>
            <w:vAlign w:val="center"/>
            <w:hideMark/>
          </w:tcPr>
          <w:p w14:paraId="557F9F9E" w14:textId="56B9A08E"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11,701,358</w:t>
            </w:r>
          </w:p>
        </w:tc>
        <w:tc>
          <w:tcPr>
            <w:tcW w:w="622" w:type="pct"/>
            <w:shd w:val="clear" w:color="auto" w:fill="FFFFFF" w:themeFill="background1"/>
            <w:noWrap/>
            <w:vAlign w:val="center"/>
            <w:hideMark/>
          </w:tcPr>
          <w:p w14:paraId="1C1B4645" w14:textId="44FAFEDC"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12,403,439</w:t>
            </w:r>
          </w:p>
        </w:tc>
        <w:tc>
          <w:tcPr>
            <w:tcW w:w="621" w:type="pct"/>
            <w:shd w:val="clear" w:color="auto" w:fill="FFFFFF" w:themeFill="background1"/>
            <w:noWrap/>
            <w:vAlign w:val="center"/>
            <w:hideMark/>
          </w:tcPr>
          <w:p w14:paraId="5D637EAF" w14:textId="53EA67E4"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13,147,645</w:t>
            </w:r>
          </w:p>
        </w:tc>
        <w:tc>
          <w:tcPr>
            <w:tcW w:w="622" w:type="pct"/>
            <w:shd w:val="clear" w:color="auto" w:fill="FFFFFF" w:themeFill="background1"/>
            <w:noWrap/>
            <w:vAlign w:val="center"/>
            <w:hideMark/>
          </w:tcPr>
          <w:p w14:paraId="4CFFF390" w14:textId="4F1EEA50"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52,332,156</w:t>
            </w:r>
          </w:p>
        </w:tc>
      </w:tr>
      <w:tr w:rsidR="00E55BC6" w:rsidRPr="003B7009" w14:paraId="70630321" w14:textId="77777777" w:rsidTr="0066493F">
        <w:trPr>
          <w:trHeight w:val="20"/>
        </w:trPr>
        <w:tc>
          <w:tcPr>
            <w:tcW w:w="1270" w:type="pct"/>
            <w:shd w:val="clear" w:color="auto" w:fill="FFFFFF" w:themeFill="background1"/>
            <w:vAlign w:val="center"/>
            <w:hideMark/>
          </w:tcPr>
          <w:p w14:paraId="4C4DDEF1" w14:textId="1F56A179"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 xml:space="preserve">G&amp;S </w:t>
            </w:r>
          </w:p>
        </w:tc>
        <w:tc>
          <w:tcPr>
            <w:tcW w:w="621" w:type="pct"/>
            <w:shd w:val="clear" w:color="auto" w:fill="FFFFFF" w:themeFill="background1"/>
            <w:noWrap/>
            <w:vAlign w:val="center"/>
            <w:hideMark/>
          </w:tcPr>
          <w:p w14:paraId="626EA16F" w14:textId="716DC020"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8,748,260</w:t>
            </w:r>
          </w:p>
        </w:tc>
        <w:tc>
          <w:tcPr>
            <w:tcW w:w="622" w:type="pct"/>
            <w:shd w:val="clear" w:color="auto" w:fill="FFFFFF" w:themeFill="background1"/>
            <w:noWrap/>
            <w:vAlign w:val="center"/>
            <w:hideMark/>
          </w:tcPr>
          <w:p w14:paraId="49341004" w14:textId="331CC1D6"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12,364,207</w:t>
            </w:r>
          </w:p>
        </w:tc>
        <w:tc>
          <w:tcPr>
            <w:tcW w:w="621" w:type="pct"/>
            <w:shd w:val="clear" w:color="auto" w:fill="FFFFFF" w:themeFill="background1"/>
            <w:noWrap/>
            <w:vAlign w:val="center"/>
            <w:hideMark/>
          </w:tcPr>
          <w:p w14:paraId="6D574A7C" w14:textId="6F1B2488"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16,382,575</w:t>
            </w:r>
          </w:p>
        </w:tc>
        <w:tc>
          <w:tcPr>
            <w:tcW w:w="622" w:type="pct"/>
            <w:shd w:val="clear" w:color="auto" w:fill="FFFFFF" w:themeFill="background1"/>
            <w:noWrap/>
            <w:vAlign w:val="center"/>
            <w:hideMark/>
          </w:tcPr>
          <w:p w14:paraId="48D15981" w14:textId="4573140B"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17,365,529</w:t>
            </w:r>
          </w:p>
        </w:tc>
        <w:tc>
          <w:tcPr>
            <w:tcW w:w="621" w:type="pct"/>
            <w:shd w:val="clear" w:color="auto" w:fill="FFFFFF" w:themeFill="background1"/>
            <w:noWrap/>
            <w:vAlign w:val="center"/>
            <w:hideMark/>
          </w:tcPr>
          <w:p w14:paraId="2263776B" w14:textId="7008A740"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18,407,461</w:t>
            </w:r>
          </w:p>
        </w:tc>
        <w:tc>
          <w:tcPr>
            <w:tcW w:w="622" w:type="pct"/>
            <w:shd w:val="clear" w:color="auto" w:fill="FFFFFF" w:themeFill="background1"/>
            <w:noWrap/>
            <w:vAlign w:val="center"/>
            <w:hideMark/>
          </w:tcPr>
          <w:p w14:paraId="5CE8F745" w14:textId="129F47F3"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73,268,033</w:t>
            </w:r>
          </w:p>
        </w:tc>
      </w:tr>
      <w:tr w:rsidR="00E55BC6" w:rsidRPr="003B7009" w14:paraId="2F76069B" w14:textId="77777777" w:rsidTr="0066493F">
        <w:trPr>
          <w:trHeight w:val="20"/>
        </w:trPr>
        <w:tc>
          <w:tcPr>
            <w:tcW w:w="1270" w:type="pct"/>
            <w:shd w:val="clear" w:color="auto" w:fill="FFFFFF" w:themeFill="background1"/>
            <w:vAlign w:val="center"/>
            <w:hideMark/>
          </w:tcPr>
          <w:p w14:paraId="217C0CDD" w14:textId="5EAEE7F3"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 xml:space="preserve">Capital </w:t>
            </w:r>
          </w:p>
        </w:tc>
        <w:tc>
          <w:tcPr>
            <w:tcW w:w="621" w:type="pct"/>
            <w:shd w:val="clear" w:color="auto" w:fill="FFFFFF" w:themeFill="background1"/>
            <w:noWrap/>
            <w:vAlign w:val="center"/>
            <w:hideMark/>
          </w:tcPr>
          <w:p w14:paraId="2F064823" w14:textId="4D146A93"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4,389,940</w:t>
            </w:r>
          </w:p>
        </w:tc>
        <w:tc>
          <w:tcPr>
            <w:tcW w:w="622" w:type="pct"/>
            <w:shd w:val="clear" w:color="auto" w:fill="FFFFFF" w:themeFill="background1"/>
            <w:noWrap/>
            <w:vAlign w:val="center"/>
            <w:hideMark/>
          </w:tcPr>
          <w:p w14:paraId="1F0A35FE" w14:textId="370DDC1C"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6,204,449</w:t>
            </w:r>
          </w:p>
        </w:tc>
        <w:tc>
          <w:tcPr>
            <w:tcW w:w="621" w:type="pct"/>
            <w:shd w:val="clear" w:color="auto" w:fill="FFFFFF" w:themeFill="background1"/>
            <w:noWrap/>
            <w:vAlign w:val="center"/>
            <w:hideMark/>
          </w:tcPr>
          <w:p w14:paraId="65C60B7E" w14:textId="31B74CF4"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8,220,894</w:t>
            </w:r>
          </w:p>
        </w:tc>
        <w:tc>
          <w:tcPr>
            <w:tcW w:w="622" w:type="pct"/>
            <w:shd w:val="clear" w:color="auto" w:fill="FFFFFF" w:themeFill="background1"/>
            <w:noWrap/>
            <w:vAlign w:val="center"/>
            <w:hideMark/>
          </w:tcPr>
          <w:p w14:paraId="79B3BFC8" w14:textId="3723846A"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8,714,148</w:t>
            </w:r>
          </w:p>
        </w:tc>
        <w:tc>
          <w:tcPr>
            <w:tcW w:w="621" w:type="pct"/>
            <w:shd w:val="clear" w:color="auto" w:fill="FFFFFF" w:themeFill="background1"/>
            <w:noWrap/>
            <w:vAlign w:val="center"/>
            <w:hideMark/>
          </w:tcPr>
          <w:p w14:paraId="7FD141C8" w14:textId="0E864278"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9,236,997</w:t>
            </w:r>
          </w:p>
        </w:tc>
        <w:tc>
          <w:tcPr>
            <w:tcW w:w="622" w:type="pct"/>
            <w:shd w:val="clear" w:color="auto" w:fill="FFFFFF" w:themeFill="background1"/>
            <w:noWrap/>
            <w:vAlign w:val="center"/>
            <w:hideMark/>
          </w:tcPr>
          <w:p w14:paraId="19D585AD" w14:textId="60999DCC"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36,766,428</w:t>
            </w:r>
          </w:p>
        </w:tc>
      </w:tr>
      <w:tr w:rsidR="00E55BC6" w:rsidRPr="003B7009" w14:paraId="44BF8035" w14:textId="77777777" w:rsidTr="0066493F">
        <w:trPr>
          <w:trHeight w:val="20"/>
        </w:trPr>
        <w:tc>
          <w:tcPr>
            <w:tcW w:w="1270" w:type="pct"/>
            <w:shd w:val="clear" w:color="auto" w:fill="FFFFFF" w:themeFill="background1"/>
            <w:vAlign w:val="center"/>
            <w:hideMark/>
          </w:tcPr>
          <w:p w14:paraId="5DE82A18" w14:textId="4F8BB3B4"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 xml:space="preserve">Unallocated </w:t>
            </w:r>
          </w:p>
        </w:tc>
        <w:tc>
          <w:tcPr>
            <w:tcW w:w="621" w:type="pct"/>
            <w:shd w:val="clear" w:color="auto" w:fill="FFFFFF" w:themeFill="background1"/>
            <w:noWrap/>
            <w:vAlign w:val="center"/>
            <w:hideMark/>
          </w:tcPr>
          <w:p w14:paraId="2EA3C6FE" w14:textId="77777777" w:rsidR="003B7009" w:rsidRPr="003B7009" w:rsidRDefault="003B7009" w:rsidP="00D61677">
            <w:pPr>
              <w:jc w:val="right"/>
              <w:rPr>
                <w:rFonts w:asciiTheme="minorHAnsi" w:eastAsia="Times New Roman" w:hAnsiTheme="minorHAnsi"/>
                <w:b/>
                <w:bCs/>
                <w:sz w:val="16"/>
                <w:szCs w:val="16"/>
                <w:lang w:val="en-GB" w:eastAsia="en-GB"/>
              </w:rPr>
            </w:pPr>
          </w:p>
        </w:tc>
        <w:tc>
          <w:tcPr>
            <w:tcW w:w="622" w:type="pct"/>
            <w:shd w:val="clear" w:color="auto" w:fill="FFFFFF" w:themeFill="background1"/>
            <w:noWrap/>
            <w:vAlign w:val="center"/>
            <w:hideMark/>
          </w:tcPr>
          <w:p w14:paraId="5C15C3CE" w14:textId="5100961E"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2,968,000</w:t>
            </w:r>
          </w:p>
        </w:tc>
        <w:tc>
          <w:tcPr>
            <w:tcW w:w="621" w:type="pct"/>
            <w:shd w:val="clear" w:color="auto" w:fill="FFFFFF" w:themeFill="background1"/>
            <w:noWrap/>
            <w:vAlign w:val="center"/>
            <w:hideMark/>
          </w:tcPr>
          <w:p w14:paraId="4A05A541" w14:textId="39E68FD0"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6,741,600</w:t>
            </w:r>
          </w:p>
        </w:tc>
        <w:tc>
          <w:tcPr>
            <w:tcW w:w="622" w:type="pct"/>
            <w:shd w:val="clear" w:color="auto" w:fill="FFFFFF" w:themeFill="background1"/>
            <w:noWrap/>
            <w:vAlign w:val="center"/>
            <w:hideMark/>
          </w:tcPr>
          <w:p w14:paraId="55A18C46" w14:textId="711B263C"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8,575,315</w:t>
            </w:r>
          </w:p>
        </w:tc>
        <w:tc>
          <w:tcPr>
            <w:tcW w:w="621" w:type="pct"/>
            <w:shd w:val="clear" w:color="auto" w:fill="FFFFFF" w:themeFill="background1"/>
            <w:noWrap/>
            <w:vAlign w:val="center"/>
            <w:hideMark/>
          </w:tcPr>
          <w:p w14:paraId="318F3538" w14:textId="3828E922"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10,604,806</w:t>
            </w:r>
          </w:p>
        </w:tc>
        <w:tc>
          <w:tcPr>
            <w:tcW w:w="622" w:type="pct"/>
            <w:shd w:val="clear" w:color="auto" w:fill="FFFFFF" w:themeFill="background1"/>
            <w:noWrap/>
            <w:vAlign w:val="center"/>
            <w:hideMark/>
          </w:tcPr>
          <w:p w14:paraId="5DF96C60" w14:textId="1EBB9287"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28,889,722</w:t>
            </w:r>
          </w:p>
        </w:tc>
      </w:tr>
      <w:tr w:rsidR="00E55BC6" w:rsidRPr="00E55BC6" w14:paraId="41A2DC97" w14:textId="77777777" w:rsidTr="0066493F">
        <w:trPr>
          <w:trHeight w:val="20"/>
        </w:trPr>
        <w:tc>
          <w:tcPr>
            <w:tcW w:w="1270" w:type="pct"/>
            <w:shd w:val="clear" w:color="auto" w:fill="ACD6A7" w:themeFill="accent4" w:themeFillTint="99"/>
            <w:vAlign w:val="center"/>
            <w:hideMark/>
          </w:tcPr>
          <w:p w14:paraId="01A64939" w14:textId="77777777"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 xml:space="preserve"> Total Excl. Unallocated </w:t>
            </w:r>
          </w:p>
        </w:tc>
        <w:tc>
          <w:tcPr>
            <w:tcW w:w="621" w:type="pct"/>
            <w:shd w:val="clear" w:color="auto" w:fill="ACD6A7" w:themeFill="accent4" w:themeFillTint="99"/>
            <w:noWrap/>
            <w:vAlign w:val="center"/>
            <w:hideMark/>
          </w:tcPr>
          <w:p w14:paraId="6353CC9F" w14:textId="66464B09"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19,986,700</w:t>
            </w:r>
          </w:p>
        </w:tc>
        <w:tc>
          <w:tcPr>
            <w:tcW w:w="622" w:type="pct"/>
            <w:shd w:val="clear" w:color="auto" w:fill="ACD6A7" w:themeFill="accent4" w:themeFillTint="99"/>
            <w:noWrap/>
            <w:vAlign w:val="center"/>
            <w:hideMark/>
          </w:tcPr>
          <w:p w14:paraId="20DDE374" w14:textId="14DDC5FE"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28,247,869</w:t>
            </w:r>
          </w:p>
        </w:tc>
        <w:tc>
          <w:tcPr>
            <w:tcW w:w="621" w:type="pct"/>
            <w:shd w:val="clear" w:color="auto" w:fill="ACD6A7" w:themeFill="accent4" w:themeFillTint="99"/>
            <w:noWrap/>
            <w:vAlign w:val="center"/>
            <w:hideMark/>
          </w:tcPr>
          <w:p w14:paraId="7B6BA976" w14:textId="7BBE5291"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37,428,427</w:t>
            </w:r>
          </w:p>
        </w:tc>
        <w:tc>
          <w:tcPr>
            <w:tcW w:w="622" w:type="pct"/>
            <w:shd w:val="clear" w:color="auto" w:fill="ACD6A7" w:themeFill="accent4" w:themeFillTint="99"/>
            <w:noWrap/>
            <w:vAlign w:val="center"/>
            <w:hideMark/>
          </w:tcPr>
          <w:p w14:paraId="6C510947" w14:textId="28894F7C"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39,674,132</w:t>
            </w:r>
          </w:p>
        </w:tc>
        <w:tc>
          <w:tcPr>
            <w:tcW w:w="621" w:type="pct"/>
            <w:shd w:val="clear" w:color="auto" w:fill="ACD6A7" w:themeFill="accent4" w:themeFillTint="99"/>
            <w:noWrap/>
            <w:vAlign w:val="center"/>
            <w:hideMark/>
          </w:tcPr>
          <w:p w14:paraId="7BDDDAE8" w14:textId="3F708984"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42,054,580</w:t>
            </w:r>
          </w:p>
        </w:tc>
        <w:tc>
          <w:tcPr>
            <w:tcW w:w="622" w:type="pct"/>
            <w:shd w:val="clear" w:color="auto" w:fill="ACD6A7" w:themeFill="accent4" w:themeFillTint="99"/>
            <w:noWrap/>
            <w:vAlign w:val="center"/>
            <w:hideMark/>
          </w:tcPr>
          <w:p w14:paraId="0923E8B3" w14:textId="28AFE9CA"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167,391,709</w:t>
            </w:r>
          </w:p>
        </w:tc>
      </w:tr>
      <w:tr w:rsidR="00E55BC6" w:rsidRPr="00E55BC6" w14:paraId="650F4D7D" w14:textId="77777777" w:rsidTr="0066493F">
        <w:trPr>
          <w:trHeight w:val="20"/>
        </w:trPr>
        <w:tc>
          <w:tcPr>
            <w:tcW w:w="1270" w:type="pct"/>
            <w:shd w:val="clear" w:color="auto" w:fill="ACD6A7" w:themeFill="accent4" w:themeFillTint="99"/>
            <w:vAlign w:val="center"/>
            <w:hideMark/>
          </w:tcPr>
          <w:p w14:paraId="1FF56439" w14:textId="77777777"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 xml:space="preserve"> Grand Total </w:t>
            </w:r>
          </w:p>
        </w:tc>
        <w:tc>
          <w:tcPr>
            <w:tcW w:w="621" w:type="pct"/>
            <w:shd w:val="clear" w:color="auto" w:fill="ACD6A7" w:themeFill="accent4" w:themeFillTint="99"/>
            <w:noWrap/>
            <w:vAlign w:val="center"/>
            <w:hideMark/>
          </w:tcPr>
          <w:p w14:paraId="2412B09B" w14:textId="19A883FB"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19,986,700</w:t>
            </w:r>
          </w:p>
        </w:tc>
        <w:tc>
          <w:tcPr>
            <w:tcW w:w="622" w:type="pct"/>
            <w:shd w:val="clear" w:color="auto" w:fill="ACD6A7" w:themeFill="accent4" w:themeFillTint="99"/>
            <w:noWrap/>
            <w:vAlign w:val="center"/>
            <w:hideMark/>
          </w:tcPr>
          <w:p w14:paraId="7C0DF23D" w14:textId="5374BFC5"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31,215,869</w:t>
            </w:r>
          </w:p>
        </w:tc>
        <w:tc>
          <w:tcPr>
            <w:tcW w:w="621" w:type="pct"/>
            <w:shd w:val="clear" w:color="auto" w:fill="ACD6A7" w:themeFill="accent4" w:themeFillTint="99"/>
            <w:noWrap/>
            <w:vAlign w:val="center"/>
            <w:hideMark/>
          </w:tcPr>
          <w:p w14:paraId="3E12F663" w14:textId="7F0A2B9C"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44,170,027</w:t>
            </w:r>
          </w:p>
        </w:tc>
        <w:tc>
          <w:tcPr>
            <w:tcW w:w="622" w:type="pct"/>
            <w:shd w:val="clear" w:color="auto" w:fill="ACD6A7" w:themeFill="accent4" w:themeFillTint="99"/>
            <w:noWrap/>
            <w:vAlign w:val="center"/>
            <w:hideMark/>
          </w:tcPr>
          <w:p w14:paraId="788300EA" w14:textId="7FE11ADE"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48,249,448</w:t>
            </w:r>
          </w:p>
        </w:tc>
        <w:tc>
          <w:tcPr>
            <w:tcW w:w="621" w:type="pct"/>
            <w:shd w:val="clear" w:color="auto" w:fill="ACD6A7" w:themeFill="accent4" w:themeFillTint="99"/>
            <w:noWrap/>
            <w:vAlign w:val="center"/>
            <w:hideMark/>
          </w:tcPr>
          <w:p w14:paraId="54C6FFC0" w14:textId="4C551D2F"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52,659,387</w:t>
            </w:r>
          </w:p>
        </w:tc>
        <w:tc>
          <w:tcPr>
            <w:tcW w:w="622" w:type="pct"/>
            <w:shd w:val="clear" w:color="auto" w:fill="ACD6A7" w:themeFill="accent4" w:themeFillTint="99"/>
            <w:noWrap/>
            <w:vAlign w:val="center"/>
            <w:hideMark/>
          </w:tcPr>
          <w:p w14:paraId="714E5492" w14:textId="0B2ECD4D"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196,281,431</w:t>
            </w:r>
          </w:p>
        </w:tc>
      </w:tr>
      <w:tr w:rsidR="00E55BC6" w:rsidRPr="00E55BC6" w14:paraId="19CA8C5B" w14:textId="77777777" w:rsidTr="0066493F">
        <w:trPr>
          <w:trHeight w:val="20"/>
        </w:trPr>
        <w:tc>
          <w:tcPr>
            <w:tcW w:w="1270" w:type="pct"/>
            <w:shd w:val="clear" w:color="auto" w:fill="ACD6A7" w:themeFill="accent4" w:themeFillTint="99"/>
            <w:vAlign w:val="center"/>
            <w:hideMark/>
          </w:tcPr>
          <w:p w14:paraId="171C9658" w14:textId="77777777" w:rsidR="003B7009" w:rsidRPr="003B7009" w:rsidRDefault="003B7009" w:rsidP="00D61677">
            <w:pPr>
              <w:ind w:left="-324" w:firstLine="324"/>
              <w:rPr>
                <w:rFonts w:asciiTheme="minorHAnsi" w:eastAsia="Times New Roman" w:hAnsiTheme="minorHAnsi"/>
                <w:b/>
                <w:bCs/>
                <w:sz w:val="16"/>
                <w:szCs w:val="16"/>
                <w:lang w:val="en-GB" w:eastAsia="en-GB"/>
              </w:rPr>
            </w:pPr>
            <w:r w:rsidRPr="003B7009">
              <w:rPr>
                <w:rFonts w:asciiTheme="minorHAnsi" w:eastAsia="Times New Roman" w:hAnsiTheme="minorHAnsi"/>
                <w:b/>
                <w:bCs/>
                <w:sz w:val="16"/>
                <w:szCs w:val="16"/>
                <w:lang w:val="en-GB" w:eastAsia="en-GB"/>
              </w:rPr>
              <w:t xml:space="preserve"> TA Total </w:t>
            </w:r>
          </w:p>
        </w:tc>
        <w:tc>
          <w:tcPr>
            <w:tcW w:w="621" w:type="pct"/>
            <w:shd w:val="clear" w:color="auto" w:fill="ACD6A7" w:themeFill="accent4" w:themeFillTint="99"/>
            <w:noWrap/>
            <w:vAlign w:val="center"/>
            <w:hideMark/>
          </w:tcPr>
          <w:p w14:paraId="3EC070F4" w14:textId="5A111C56"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14,946,700</w:t>
            </w:r>
          </w:p>
        </w:tc>
        <w:tc>
          <w:tcPr>
            <w:tcW w:w="622" w:type="pct"/>
            <w:shd w:val="clear" w:color="auto" w:fill="ACD6A7" w:themeFill="accent4" w:themeFillTint="99"/>
            <w:noWrap/>
            <w:vAlign w:val="center"/>
            <w:hideMark/>
          </w:tcPr>
          <w:p w14:paraId="77BA2950" w14:textId="390B290E"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21,124,669</w:t>
            </w:r>
          </w:p>
        </w:tc>
        <w:tc>
          <w:tcPr>
            <w:tcW w:w="621" w:type="pct"/>
            <w:shd w:val="clear" w:color="auto" w:fill="ACD6A7" w:themeFill="accent4" w:themeFillTint="99"/>
            <w:noWrap/>
            <w:vAlign w:val="center"/>
            <w:hideMark/>
          </w:tcPr>
          <w:p w14:paraId="3BCFD8C0" w14:textId="31FEBA95"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27,990,187</w:t>
            </w:r>
          </w:p>
        </w:tc>
        <w:tc>
          <w:tcPr>
            <w:tcW w:w="622" w:type="pct"/>
            <w:shd w:val="clear" w:color="auto" w:fill="ACD6A7" w:themeFill="accent4" w:themeFillTint="99"/>
            <w:noWrap/>
            <w:vAlign w:val="center"/>
            <w:hideMark/>
          </w:tcPr>
          <w:p w14:paraId="2FBB0CCD" w14:textId="21D4B06B"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29,669,598</w:t>
            </w:r>
          </w:p>
        </w:tc>
        <w:tc>
          <w:tcPr>
            <w:tcW w:w="621" w:type="pct"/>
            <w:shd w:val="clear" w:color="auto" w:fill="ACD6A7" w:themeFill="accent4" w:themeFillTint="99"/>
            <w:noWrap/>
            <w:vAlign w:val="center"/>
            <w:hideMark/>
          </w:tcPr>
          <w:p w14:paraId="35E6E027" w14:textId="6EB46776"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31,449,774</w:t>
            </w:r>
          </w:p>
        </w:tc>
        <w:tc>
          <w:tcPr>
            <w:tcW w:w="622" w:type="pct"/>
            <w:shd w:val="clear" w:color="auto" w:fill="ACD6A7" w:themeFill="accent4" w:themeFillTint="99"/>
            <w:noWrap/>
            <w:vAlign w:val="center"/>
            <w:hideMark/>
          </w:tcPr>
          <w:p w14:paraId="7531FD2D" w14:textId="098392E1" w:rsidR="003B7009" w:rsidRPr="003B7009" w:rsidRDefault="003B7009" w:rsidP="00D61677">
            <w:pPr>
              <w:jc w:val="right"/>
              <w:rPr>
                <w:rFonts w:asciiTheme="minorHAnsi" w:eastAsia="Times New Roman" w:hAnsiTheme="minorHAnsi"/>
                <w:sz w:val="16"/>
                <w:szCs w:val="16"/>
                <w:lang w:val="en-GB" w:eastAsia="en-GB"/>
              </w:rPr>
            </w:pPr>
            <w:r w:rsidRPr="003B7009">
              <w:rPr>
                <w:rFonts w:asciiTheme="minorHAnsi" w:eastAsia="Times New Roman" w:hAnsiTheme="minorHAnsi"/>
                <w:sz w:val="16"/>
                <w:szCs w:val="16"/>
                <w:lang w:val="en-GB" w:eastAsia="en-GB"/>
              </w:rPr>
              <w:t>125,180,928</w:t>
            </w:r>
          </w:p>
        </w:tc>
      </w:tr>
    </w:tbl>
    <w:p w14:paraId="61C258D3" w14:textId="376A9B7E" w:rsidR="0066493F" w:rsidRPr="0066493F" w:rsidRDefault="0066493F" w:rsidP="0066493F">
      <w:pPr>
        <w:pStyle w:val="TableHeader1"/>
      </w:pPr>
      <w:bookmarkStart w:id="94" w:name="_Toc457162648"/>
      <w:r>
        <w:t>Medium Term Costings by Function Classification (US$)</w:t>
      </w:r>
      <w:bookmarkEnd w:id="94"/>
    </w:p>
    <w:p w14:paraId="5F438DFF" w14:textId="77989212" w:rsidR="000767C0" w:rsidRDefault="000767C0" w:rsidP="000767C0"/>
    <w:tbl>
      <w:tblPr>
        <w:tblW w:w="5660" w:type="pct"/>
        <w:tblLayout w:type="fixed"/>
        <w:tblLook w:val="04A0" w:firstRow="1" w:lastRow="0" w:firstColumn="1" w:lastColumn="0" w:noHBand="0" w:noVBand="1"/>
      </w:tblPr>
      <w:tblGrid>
        <w:gridCol w:w="2451"/>
        <w:gridCol w:w="1157"/>
        <w:gridCol w:w="1158"/>
        <w:gridCol w:w="1158"/>
        <w:gridCol w:w="1158"/>
        <w:gridCol w:w="1158"/>
        <w:gridCol w:w="1156"/>
      </w:tblGrid>
      <w:tr w:rsidR="00E57C0E" w:rsidRPr="003B7009" w14:paraId="61C95924" w14:textId="77777777" w:rsidTr="00E57C0E">
        <w:trPr>
          <w:trHeight w:val="20"/>
          <w:tblHeader/>
        </w:trPr>
        <w:tc>
          <w:tcPr>
            <w:tcW w:w="1305" w:type="pct"/>
            <w:tcBorders>
              <w:top w:val="single" w:sz="4" w:space="0" w:color="auto"/>
              <w:left w:val="nil"/>
              <w:bottom w:val="single" w:sz="4" w:space="0" w:color="auto"/>
              <w:right w:val="nil"/>
            </w:tcBorders>
            <w:shd w:val="clear" w:color="auto" w:fill="ACD6A7" w:themeFill="accent4" w:themeFillTint="99"/>
            <w:noWrap/>
            <w:hideMark/>
          </w:tcPr>
          <w:p w14:paraId="07140102" w14:textId="77777777" w:rsidR="0066493F" w:rsidRPr="0066493F" w:rsidRDefault="0066493F" w:rsidP="0066493F">
            <w:pPr>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Function and function Groups</w:t>
            </w:r>
          </w:p>
        </w:tc>
        <w:tc>
          <w:tcPr>
            <w:tcW w:w="616" w:type="pct"/>
            <w:tcBorders>
              <w:top w:val="single" w:sz="4" w:space="0" w:color="auto"/>
              <w:left w:val="nil"/>
              <w:bottom w:val="single" w:sz="4" w:space="0" w:color="auto"/>
              <w:right w:val="nil"/>
            </w:tcBorders>
            <w:shd w:val="clear" w:color="auto" w:fill="ACD6A7" w:themeFill="accent4" w:themeFillTint="99"/>
            <w:noWrap/>
            <w:vAlign w:val="center"/>
            <w:hideMark/>
          </w:tcPr>
          <w:p w14:paraId="63C6D301" w14:textId="77777777" w:rsidR="0066493F" w:rsidRPr="00E55BC6" w:rsidRDefault="0066493F" w:rsidP="0066493F">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1395/</w:t>
            </w:r>
          </w:p>
          <w:p w14:paraId="25776FF0" w14:textId="5D99C074" w:rsidR="0066493F" w:rsidRPr="0066493F" w:rsidRDefault="0066493F" w:rsidP="0066493F">
            <w:pPr>
              <w:jc w:val="center"/>
              <w:rPr>
                <w:rFonts w:asciiTheme="minorHAnsi" w:eastAsia="Times New Roman" w:hAnsiTheme="minorHAnsi"/>
                <w:b/>
                <w:bCs/>
                <w:color w:val="000000"/>
                <w:sz w:val="16"/>
                <w:szCs w:val="16"/>
                <w:lang w:val="en-GB" w:eastAsia="en-GB"/>
              </w:rPr>
            </w:pPr>
            <w:r w:rsidRPr="003B7009">
              <w:rPr>
                <w:rFonts w:asciiTheme="minorHAnsi" w:eastAsia="Times New Roman" w:hAnsiTheme="minorHAnsi"/>
                <w:b/>
                <w:bCs/>
                <w:sz w:val="16"/>
                <w:szCs w:val="16"/>
                <w:lang w:val="en-GB" w:eastAsia="en-GB"/>
              </w:rPr>
              <w:t>2016</w:t>
            </w:r>
          </w:p>
        </w:tc>
        <w:tc>
          <w:tcPr>
            <w:tcW w:w="616" w:type="pct"/>
            <w:tcBorders>
              <w:top w:val="single" w:sz="4" w:space="0" w:color="auto"/>
              <w:left w:val="nil"/>
              <w:bottom w:val="single" w:sz="4" w:space="0" w:color="auto"/>
              <w:right w:val="nil"/>
            </w:tcBorders>
            <w:shd w:val="clear" w:color="auto" w:fill="ACD6A7" w:themeFill="accent4" w:themeFillTint="99"/>
            <w:noWrap/>
            <w:vAlign w:val="center"/>
            <w:hideMark/>
          </w:tcPr>
          <w:p w14:paraId="32679DDB" w14:textId="77777777" w:rsidR="0066493F" w:rsidRPr="00E55BC6" w:rsidRDefault="0066493F" w:rsidP="0066493F">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1396/</w:t>
            </w:r>
          </w:p>
          <w:p w14:paraId="720E053A" w14:textId="4C1FB419" w:rsidR="0066493F" w:rsidRPr="0066493F" w:rsidRDefault="0066493F" w:rsidP="0066493F">
            <w:pPr>
              <w:jc w:val="center"/>
              <w:rPr>
                <w:rFonts w:asciiTheme="minorHAnsi" w:eastAsia="Times New Roman" w:hAnsiTheme="minorHAnsi"/>
                <w:b/>
                <w:bCs/>
                <w:color w:val="000000"/>
                <w:sz w:val="16"/>
                <w:szCs w:val="16"/>
                <w:lang w:val="en-GB" w:eastAsia="en-GB"/>
              </w:rPr>
            </w:pPr>
            <w:r w:rsidRPr="003B7009">
              <w:rPr>
                <w:rFonts w:asciiTheme="minorHAnsi" w:eastAsia="Times New Roman" w:hAnsiTheme="minorHAnsi"/>
                <w:b/>
                <w:bCs/>
                <w:sz w:val="16"/>
                <w:szCs w:val="16"/>
                <w:lang w:val="en-GB" w:eastAsia="en-GB"/>
              </w:rPr>
              <w:t>2017</w:t>
            </w:r>
          </w:p>
        </w:tc>
        <w:tc>
          <w:tcPr>
            <w:tcW w:w="616" w:type="pct"/>
            <w:tcBorders>
              <w:top w:val="single" w:sz="4" w:space="0" w:color="auto"/>
              <w:left w:val="nil"/>
              <w:bottom w:val="single" w:sz="4" w:space="0" w:color="auto"/>
              <w:right w:val="nil"/>
            </w:tcBorders>
            <w:shd w:val="clear" w:color="auto" w:fill="ACD6A7" w:themeFill="accent4" w:themeFillTint="99"/>
            <w:noWrap/>
            <w:vAlign w:val="center"/>
            <w:hideMark/>
          </w:tcPr>
          <w:p w14:paraId="5FE8D765" w14:textId="77777777" w:rsidR="0066493F" w:rsidRPr="00E55BC6" w:rsidRDefault="0066493F" w:rsidP="0066493F">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1397/</w:t>
            </w:r>
          </w:p>
          <w:p w14:paraId="1EEB875F" w14:textId="029C30DC" w:rsidR="0066493F" w:rsidRPr="0066493F" w:rsidRDefault="0066493F" w:rsidP="0066493F">
            <w:pPr>
              <w:jc w:val="center"/>
              <w:rPr>
                <w:rFonts w:asciiTheme="minorHAnsi" w:eastAsia="Times New Roman" w:hAnsiTheme="minorHAnsi"/>
                <w:b/>
                <w:bCs/>
                <w:color w:val="000000"/>
                <w:sz w:val="16"/>
                <w:szCs w:val="16"/>
                <w:lang w:val="en-GB" w:eastAsia="en-GB"/>
              </w:rPr>
            </w:pPr>
            <w:r w:rsidRPr="003B7009">
              <w:rPr>
                <w:rFonts w:asciiTheme="minorHAnsi" w:eastAsia="Times New Roman" w:hAnsiTheme="minorHAnsi"/>
                <w:b/>
                <w:bCs/>
                <w:sz w:val="16"/>
                <w:szCs w:val="16"/>
                <w:lang w:val="en-GB" w:eastAsia="en-GB"/>
              </w:rPr>
              <w:t>2018</w:t>
            </w:r>
          </w:p>
        </w:tc>
        <w:tc>
          <w:tcPr>
            <w:tcW w:w="616" w:type="pct"/>
            <w:tcBorders>
              <w:top w:val="single" w:sz="4" w:space="0" w:color="auto"/>
              <w:left w:val="nil"/>
              <w:bottom w:val="single" w:sz="4" w:space="0" w:color="auto"/>
              <w:right w:val="nil"/>
            </w:tcBorders>
            <w:shd w:val="clear" w:color="auto" w:fill="ACD6A7" w:themeFill="accent4" w:themeFillTint="99"/>
            <w:noWrap/>
            <w:vAlign w:val="center"/>
            <w:hideMark/>
          </w:tcPr>
          <w:p w14:paraId="6F323DB3" w14:textId="77777777" w:rsidR="0066493F" w:rsidRPr="00E55BC6" w:rsidRDefault="0066493F" w:rsidP="0066493F">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1398/</w:t>
            </w:r>
          </w:p>
          <w:p w14:paraId="4CB50062" w14:textId="7575ECCB" w:rsidR="0066493F" w:rsidRPr="0066493F" w:rsidRDefault="0066493F" w:rsidP="0066493F">
            <w:pPr>
              <w:jc w:val="center"/>
              <w:rPr>
                <w:rFonts w:asciiTheme="minorHAnsi" w:eastAsia="Times New Roman" w:hAnsiTheme="minorHAnsi"/>
                <w:b/>
                <w:bCs/>
                <w:color w:val="000000"/>
                <w:sz w:val="16"/>
                <w:szCs w:val="16"/>
                <w:lang w:val="en-GB" w:eastAsia="en-GB"/>
              </w:rPr>
            </w:pPr>
            <w:r w:rsidRPr="003B7009">
              <w:rPr>
                <w:rFonts w:asciiTheme="minorHAnsi" w:eastAsia="Times New Roman" w:hAnsiTheme="minorHAnsi"/>
                <w:b/>
                <w:bCs/>
                <w:sz w:val="16"/>
                <w:szCs w:val="16"/>
                <w:lang w:val="en-GB" w:eastAsia="en-GB"/>
              </w:rPr>
              <w:t>2019</w:t>
            </w:r>
          </w:p>
        </w:tc>
        <w:tc>
          <w:tcPr>
            <w:tcW w:w="616" w:type="pct"/>
            <w:tcBorders>
              <w:top w:val="single" w:sz="4" w:space="0" w:color="auto"/>
              <w:left w:val="nil"/>
              <w:bottom w:val="single" w:sz="4" w:space="0" w:color="auto"/>
              <w:right w:val="nil"/>
            </w:tcBorders>
            <w:shd w:val="clear" w:color="auto" w:fill="ACD6A7" w:themeFill="accent4" w:themeFillTint="99"/>
            <w:noWrap/>
            <w:vAlign w:val="center"/>
            <w:hideMark/>
          </w:tcPr>
          <w:p w14:paraId="450DD0AB" w14:textId="77777777" w:rsidR="0066493F" w:rsidRPr="00E55BC6" w:rsidRDefault="0066493F" w:rsidP="0066493F">
            <w:pPr>
              <w:jc w:val="center"/>
              <w:rPr>
                <w:rFonts w:asciiTheme="minorHAnsi" w:eastAsia="Times New Roman" w:hAnsiTheme="minorHAnsi"/>
                <w:b/>
                <w:bCs/>
                <w:sz w:val="16"/>
                <w:szCs w:val="16"/>
                <w:lang w:val="en-GB" w:eastAsia="en-GB"/>
              </w:rPr>
            </w:pPr>
            <w:r w:rsidRPr="00E55BC6">
              <w:rPr>
                <w:rFonts w:asciiTheme="minorHAnsi" w:eastAsia="Times New Roman" w:hAnsiTheme="minorHAnsi"/>
                <w:b/>
                <w:bCs/>
                <w:sz w:val="16"/>
                <w:szCs w:val="16"/>
                <w:lang w:val="en-GB" w:eastAsia="en-GB"/>
              </w:rPr>
              <w:t>1399/</w:t>
            </w:r>
          </w:p>
          <w:p w14:paraId="56DC8445" w14:textId="3E0B00BF" w:rsidR="0066493F" w:rsidRPr="0066493F" w:rsidRDefault="0066493F" w:rsidP="0066493F">
            <w:pPr>
              <w:jc w:val="center"/>
              <w:rPr>
                <w:rFonts w:asciiTheme="minorHAnsi" w:eastAsia="Times New Roman" w:hAnsiTheme="minorHAnsi"/>
                <w:b/>
                <w:bCs/>
                <w:color w:val="000000"/>
                <w:sz w:val="16"/>
                <w:szCs w:val="16"/>
                <w:lang w:val="en-GB" w:eastAsia="en-GB"/>
              </w:rPr>
            </w:pPr>
            <w:r w:rsidRPr="003B7009">
              <w:rPr>
                <w:rFonts w:asciiTheme="minorHAnsi" w:eastAsia="Times New Roman" w:hAnsiTheme="minorHAnsi"/>
                <w:b/>
                <w:bCs/>
                <w:sz w:val="16"/>
                <w:szCs w:val="16"/>
                <w:lang w:val="en-GB" w:eastAsia="en-GB"/>
              </w:rPr>
              <w:t>2020</w:t>
            </w:r>
          </w:p>
        </w:tc>
        <w:tc>
          <w:tcPr>
            <w:tcW w:w="616" w:type="pct"/>
            <w:tcBorders>
              <w:top w:val="single" w:sz="4" w:space="0" w:color="auto"/>
              <w:left w:val="nil"/>
              <w:bottom w:val="single" w:sz="4" w:space="0" w:color="auto"/>
              <w:right w:val="nil"/>
            </w:tcBorders>
            <w:shd w:val="clear" w:color="auto" w:fill="ACD6A7" w:themeFill="accent4" w:themeFillTint="99"/>
            <w:noWrap/>
            <w:vAlign w:val="center"/>
            <w:hideMark/>
          </w:tcPr>
          <w:p w14:paraId="64CB2EA5" w14:textId="738F1C78" w:rsidR="0066493F" w:rsidRPr="0066493F" w:rsidRDefault="0066493F" w:rsidP="0066493F">
            <w:pPr>
              <w:jc w:val="center"/>
              <w:rPr>
                <w:rFonts w:asciiTheme="minorHAnsi" w:eastAsia="Times New Roman" w:hAnsiTheme="minorHAnsi"/>
                <w:b/>
                <w:bCs/>
                <w:color w:val="000000"/>
                <w:sz w:val="16"/>
                <w:szCs w:val="16"/>
                <w:lang w:val="en-GB" w:eastAsia="en-GB"/>
              </w:rPr>
            </w:pPr>
            <w:r w:rsidRPr="003B7009">
              <w:rPr>
                <w:rFonts w:asciiTheme="minorHAnsi" w:eastAsia="Times New Roman" w:hAnsiTheme="minorHAnsi"/>
                <w:b/>
                <w:bCs/>
                <w:sz w:val="16"/>
                <w:szCs w:val="16"/>
                <w:lang w:val="en-GB" w:eastAsia="en-GB"/>
              </w:rPr>
              <w:t>Total</w:t>
            </w:r>
          </w:p>
        </w:tc>
      </w:tr>
      <w:tr w:rsidR="00E57C0E" w:rsidRPr="003B7009" w14:paraId="2B6FC748" w14:textId="77777777" w:rsidTr="00E57C0E">
        <w:trPr>
          <w:trHeight w:val="20"/>
        </w:trPr>
        <w:tc>
          <w:tcPr>
            <w:tcW w:w="1305" w:type="pct"/>
            <w:tcBorders>
              <w:top w:val="nil"/>
              <w:left w:val="nil"/>
              <w:bottom w:val="single" w:sz="4" w:space="0" w:color="auto"/>
              <w:right w:val="nil"/>
            </w:tcBorders>
            <w:shd w:val="clear" w:color="auto" w:fill="C7E3C4" w:themeFill="accent4" w:themeFillTint="66"/>
            <w:hideMark/>
          </w:tcPr>
          <w:p w14:paraId="046D94D2"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Grand Total</w:t>
            </w:r>
          </w:p>
        </w:tc>
        <w:tc>
          <w:tcPr>
            <w:tcW w:w="616" w:type="pct"/>
            <w:tcBorders>
              <w:top w:val="nil"/>
              <w:left w:val="nil"/>
              <w:bottom w:val="single" w:sz="4" w:space="0" w:color="auto"/>
              <w:right w:val="nil"/>
            </w:tcBorders>
            <w:shd w:val="clear" w:color="auto" w:fill="C7E3C4" w:themeFill="accent4" w:themeFillTint="66"/>
            <w:hideMark/>
          </w:tcPr>
          <w:p w14:paraId="7AF2EE7D" w14:textId="06BE128B"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19,986,700</w:t>
            </w:r>
          </w:p>
        </w:tc>
        <w:tc>
          <w:tcPr>
            <w:tcW w:w="616" w:type="pct"/>
            <w:tcBorders>
              <w:top w:val="nil"/>
              <w:left w:val="nil"/>
              <w:bottom w:val="single" w:sz="4" w:space="0" w:color="auto"/>
              <w:right w:val="nil"/>
            </w:tcBorders>
            <w:shd w:val="clear" w:color="auto" w:fill="C7E3C4" w:themeFill="accent4" w:themeFillTint="66"/>
            <w:hideMark/>
          </w:tcPr>
          <w:p w14:paraId="54B42613" w14:textId="6911520A"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31,215,869</w:t>
            </w:r>
          </w:p>
        </w:tc>
        <w:tc>
          <w:tcPr>
            <w:tcW w:w="616" w:type="pct"/>
            <w:tcBorders>
              <w:top w:val="nil"/>
              <w:left w:val="nil"/>
              <w:bottom w:val="single" w:sz="4" w:space="0" w:color="auto"/>
              <w:right w:val="nil"/>
            </w:tcBorders>
            <w:shd w:val="clear" w:color="auto" w:fill="C7E3C4" w:themeFill="accent4" w:themeFillTint="66"/>
            <w:hideMark/>
          </w:tcPr>
          <w:p w14:paraId="1E2579B3" w14:textId="59264164"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44,170,027</w:t>
            </w:r>
          </w:p>
        </w:tc>
        <w:tc>
          <w:tcPr>
            <w:tcW w:w="616" w:type="pct"/>
            <w:tcBorders>
              <w:top w:val="nil"/>
              <w:left w:val="nil"/>
              <w:bottom w:val="single" w:sz="4" w:space="0" w:color="auto"/>
              <w:right w:val="nil"/>
            </w:tcBorders>
            <w:shd w:val="clear" w:color="auto" w:fill="C7E3C4" w:themeFill="accent4" w:themeFillTint="66"/>
            <w:hideMark/>
          </w:tcPr>
          <w:p w14:paraId="1EBA96DB" w14:textId="7F2F0B30"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48,249,448</w:t>
            </w:r>
          </w:p>
        </w:tc>
        <w:tc>
          <w:tcPr>
            <w:tcW w:w="616" w:type="pct"/>
            <w:tcBorders>
              <w:top w:val="nil"/>
              <w:left w:val="nil"/>
              <w:bottom w:val="single" w:sz="4" w:space="0" w:color="auto"/>
              <w:right w:val="nil"/>
            </w:tcBorders>
            <w:shd w:val="clear" w:color="auto" w:fill="C7E3C4" w:themeFill="accent4" w:themeFillTint="66"/>
            <w:hideMark/>
          </w:tcPr>
          <w:p w14:paraId="773A0654" w14:textId="417BA10B"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52,659,387</w:t>
            </w:r>
          </w:p>
        </w:tc>
        <w:tc>
          <w:tcPr>
            <w:tcW w:w="616" w:type="pct"/>
            <w:tcBorders>
              <w:top w:val="nil"/>
              <w:left w:val="nil"/>
              <w:bottom w:val="single" w:sz="4" w:space="0" w:color="auto"/>
              <w:right w:val="nil"/>
            </w:tcBorders>
            <w:shd w:val="clear" w:color="auto" w:fill="C7E3C4" w:themeFill="accent4" w:themeFillTint="66"/>
            <w:hideMark/>
          </w:tcPr>
          <w:p w14:paraId="0811BC41" w14:textId="334ED533"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196,281,431</w:t>
            </w:r>
          </w:p>
        </w:tc>
      </w:tr>
      <w:tr w:rsidR="003B7009" w:rsidRPr="003B7009" w14:paraId="469B6F4D" w14:textId="77777777" w:rsidTr="00E57C0E">
        <w:trPr>
          <w:trHeight w:val="20"/>
        </w:trPr>
        <w:tc>
          <w:tcPr>
            <w:tcW w:w="1305" w:type="pct"/>
            <w:tcBorders>
              <w:top w:val="nil"/>
              <w:left w:val="nil"/>
              <w:bottom w:val="nil"/>
              <w:right w:val="nil"/>
            </w:tcBorders>
            <w:shd w:val="clear" w:color="auto" w:fill="E3F1E1" w:themeFill="accent4" w:themeFillTint="33"/>
            <w:hideMark/>
          </w:tcPr>
          <w:p w14:paraId="7A3CDB70"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General Public Services</w:t>
            </w:r>
          </w:p>
        </w:tc>
        <w:tc>
          <w:tcPr>
            <w:tcW w:w="616" w:type="pct"/>
            <w:tcBorders>
              <w:top w:val="nil"/>
              <w:left w:val="nil"/>
              <w:bottom w:val="nil"/>
              <w:right w:val="nil"/>
            </w:tcBorders>
            <w:shd w:val="clear" w:color="auto" w:fill="E3F1E1" w:themeFill="accent4" w:themeFillTint="33"/>
            <w:hideMark/>
          </w:tcPr>
          <w:p w14:paraId="0BBB4011" w14:textId="63EDE9F1"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19,521,950</w:t>
            </w:r>
          </w:p>
        </w:tc>
        <w:tc>
          <w:tcPr>
            <w:tcW w:w="616" w:type="pct"/>
            <w:tcBorders>
              <w:top w:val="nil"/>
              <w:left w:val="nil"/>
              <w:bottom w:val="nil"/>
              <w:right w:val="nil"/>
            </w:tcBorders>
            <w:shd w:val="clear" w:color="auto" w:fill="E3F1E1" w:themeFill="accent4" w:themeFillTint="33"/>
            <w:hideMark/>
          </w:tcPr>
          <w:p w14:paraId="299580B4" w14:textId="05A3BA26"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28,863,023</w:t>
            </w:r>
          </w:p>
        </w:tc>
        <w:tc>
          <w:tcPr>
            <w:tcW w:w="616" w:type="pct"/>
            <w:tcBorders>
              <w:top w:val="nil"/>
              <w:left w:val="nil"/>
              <w:bottom w:val="nil"/>
              <w:right w:val="nil"/>
            </w:tcBorders>
            <w:shd w:val="clear" w:color="auto" w:fill="E3F1E1" w:themeFill="accent4" w:themeFillTint="33"/>
            <w:hideMark/>
          </w:tcPr>
          <w:p w14:paraId="67773987" w14:textId="7DF4F9D0"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38,805,305</w:t>
            </w:r>
          </w:p>
        </w:tc>
        <w:tc>
          <w:tcPr>
            <w:tcW w:w="616" w:type="pct"/>
            <w:tcBorders>
              <w:top w:val="nil"/>
              <w:left w:val="nil"/>
              <w:bottom w:val="nil"/>
              <w:right w:val="nil"/>
            </w:tcBorders>
            <w:shd w:val="clear" w:color="auto" w:fill="E3F1E1" w:themeFill="accent4" w:themeFillTint="33"/>
            <w:hideMark/>
          </w:tcPr>
          <w:p w14:paraId="63E6DC76" w14:textId="397443F3"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41,610,030</w:t>
            </w:r>
          </w:p>
        </w:tc>
        <w:tc>
          <w:tcPr>
            <w:tcW w:w="616" w:type="pct"/>
            <w:tcBorders>
              <w:top w:val="nil"/>
              <w:left w:val="nil"/>
              <w:bottom w:val="nil"/>
              <w:right w:val="nil"/>
            </w:tcBorders>
            <w:shd w:val="clear" w:color="auto" w:fill="E3F1E1" w:themeFill="accent4" w:themeFillTint="33"/>
            <w:hideMark/>
          </w:tcPr>
          <w:p w14:paraId="2AA494B4" w14:textId="56B1FFAB"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44,611,622</w:t>
            </w:r>
          </w:p>
        </w:tc>
        <w:tc>
          <w:tcPr>
            <w:tcW w:w="616" w:type="pct"/>
            <w:tcBorders>
              <w:top w:val="nil"/>
              <w:left w:val="nil"/>
              <w:bottom w:val="nil"/>
              <w:right w:val="nil"/>
            </w:tcBorders>
            <w:shd w:val="clear" w:color="auto" w:fill="E3F1E1" w:themeFill="accent4" w:themeFillTint="33"/>
            <w:hideMark/>
          </w:tcPr>
          <w:p w14:paraId="06E97E35" w14:textId="5AB1361A"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173,411,930</w:t>
            </w:r>
          </w:p>
        </w:tc>
      </w:tr>
      <w:tr w:rsidR="003B7009" w:rsidRPr="003B7009" w14:paraId="05FC6DB4" w14:textId="77777777" w:rsidTr="00E57C0E">
        <w:trPr>
          <w:trHeight w:val="20"/>
        </w:trPr>
        <w:tc>
          <w:tcPr>
            <w:tcW w:w="1305" w:type="pct"/>
            <w:tcBorders>
              <w:top w:val="nil"/>
              <w:left w:val="nil"/>
              <w:bottom w:val="nil"/>
              <w:right w:val="nil"/>
            </w:tcBorders>
            <w:shd w:val="clear" w:color="auto" w:fill="auto"/>
            <w:noWrap/>
            <w:hideMark/>
          </w:tcPr>
          <w:p w14:paraId="5409B1B7"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GPS - Executive &amp; legislative organs, financial &amp; fiscal affairs, external affairs</w:t>
            </w:r>
          </w:p>
        </w:tc>
        <w:tc>
          <w:tcPr>
            <w:tcW w:w="616" w:type="pct"/>
            <w:tcBorders>
              <w:top w:val="nil"/>
              <w:left w:val="nil"/>
              <w:bottom w:val="nil"/>
              <w:right w:val="nil"/>
            </w:tcBorders>
            <w:shd w:val="clear" w:color="auto" w:fill="auto"/>
            <w:noWrap/>
            <w:hideMark/>
          </w:tcPr>
          <w:p w14:paraId="12F3A408" w14:textId="18D771F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16,564,200</w:t>
            </w:r>
          </w:p>
        </w:tc>
        <w:tc>
          <w:tcPr>
            <w:tcW w:w="616" w:type="pct"/>
            <w:tcBorders>
              <w:top w:val="nil"/>
              <w:left w:val="nil"/>
              <w:bottom w:val="nil"/>
              <w:right w:val="nil"/>
            </w:tcBorders>
            <w:shd w:val="clear" w:color="auto" w:fill="auto"/>
            <w:noWrap/>
            <w:hideMark/>
          </w:tcPr>
          <w:p w14:paraId="27E8859F" w14:textId="3D8956A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24,258,736</w:t>
            </w:r>
          </w:p>
        </w:tc>
        <w:tc>
          <w:tcPr>
            <w:tcW w:w="616" w:type="pct"/>
            <w:tcBorders>
              <w:top w:val="nil"/>
              <w:left w:val="nil"/>
              <w:bottom w:val="nil"/>
              <w:right w:val="nil"/>
            </w:tcBorders>
            <w:shd w:val="clear" w:color="auto" w:fill="auto"/>
            <w:noWrap/>
            <w:hideMark/>
          </w:tcPr>
          <w:p w14:paraId="1E5AFFE0" w14:textId="77E4D7D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32,367,545</w:t>
            </w:r>
          </w:p>
        </w:tc>
        <w:tc>
          <w:tcPr>
            <w:tcW w:w="616" w:type="pct"/>
            <w:tcBorders>
              <w:top w:val="nil"/>
              <w:left w:val="nil"/>
              <w:bottom w:val="nil"/>
              <w:right w:val="nil"/>
            </w:tcBorders>
            <w:shd w:val="clear" w:color="auto" w:fill="auto"/>
            <w:noWrap/>
            <w:hideMark/>
          </w:tcPr>
          <w:p w14:paraId="2417096C" w14:textId="2B34553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34,786,004</w:t>
            </w:r>
          </w:p>
        </w:tc>
        <w:tc>
          <w:tcPr>
            <w:tcW w:w="616" w:type="pct"/>
            <w:tcBorders>
              <w:top w:val="nil"/>
              <w:left w:val="nil"/>
              <w:bottom w:val="nil"/>
              <w:right w:val="nil"/>
            </w:tcBorders>
            <w:shd w:val="clear" w:color="auto" w:fill="auto"/>
            <w:noWrap/>
            <w:hideMark/>
          </w:tcPr>
          <w:p w14:paraId="22D12DEE" w14:textId="1BBE91F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37,378,155</w:t>
            </w:r>
          </w:p>
        </w:tc>
        <w:tc>
          <w:tcPr>
            <w:tcW w:w="616" w:type="pct"/>
            <w:tcBorders>
              <w:top w:val="nil"/>
              <w:left w:val="nil"/>
              <w:bottom w:val="nil"/>
              <w:right w:val="nil"/>
            </w:tcBorders>
            <w:shd w:val="clear" w:color="auto" w:fill="auto"/>
            <w:noWrap/>
            <w:hideMark/>
          </w:tcPr>
          <w:p w14:paraId="4DDBD80E" w14:textId="66E1E52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145,354,641</w:t>
            </w:r>
          </w:p>
        </w:tc>
      </w:tr>
      <w:tr w:rsidR="003B7009" w:rsidRPr="003B7009" w14:paraId="10D431FF" w14:textId="77777777" w:rsidTr="00E57C0E">
        <w:trPr>
          <w:trHeight w:val="20"/>
        </w:trPr>
        <w:tc>
          <w:tcPr>
            <w:tcW w:w="1305" w:type="pct"/>
            <w:tcBorders>
              <w:top w:val="nil"/>
              <w:left w:val="nil"/>
              <w:bottom w:val="nil"/>
              <w:right w:val="nil"/>
            </w:tcBorders>
            <w:shd w:val="clear" w:color="auto" w:fill="auto"/>
            <w:noWrap/>
            <w:hideMark/>
          </w:tcPr>
          <w:p w14:paraId="400932FC"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GPS - General Services</w:t>
            </w:r>
          </w:p>
        </w:tc>
        <w:tc>
          <w:tcPr>
            <w:tcW w:w="616" w:type="pct"/>
            <w:tcBorders>
              <w:top w:val="nil"/>
              <w:left w:val="nil"/>
              <w:bottom w:val="nil"/>
              <w:right w:val="nil"/>
            </w:tcBorders>
            <w:shd w:val="clear" w:color="auto" w:fill="auto"/>
            <w:noWrap/>
            <w:hideMark/>
          </w:tcPr>
          <w:p w14:paraId="3BF5C7E9" w14:textId="6BC8ACF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2,957,750</w:t>
            </w:r>
          </w:p>
        </w:tc>
        <w:tc>
          <w:tcPr>
            <w:tcW w:w="616" w:type="pct"/>
            <w:tcBorders>
              <w:top w:val="nil"/>
              <w:left w:val="nil"/>
              <w:bottom w:val="nil"/>
              <w:right w:val="nil"/>
            </w:tcBorders>
            <w:shd w:val="clear" w:color="auto" w:fill="auto"/>
            <w:noWrap/>
            <w:hideMark/>
          </w:tcPr>
          <w:p w14:paraId="5F0311BB" w14:textId="31E1A73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4,604,287</w:t>
            </w:r>
          </w:p>
        </w:tc>
        <w:tc>
          <w:tcPr>
            <w:tcW w:w="616" w:type="pct"/>
            <w:tcBorders>
              <w:top w:val="nil"/>
              <w:left w:val="nil"/>
              <w:bottom w:val="nil"/>
              <w:right w:val="nil"/>
            </w:tcBorders>
            <w:shd w:val="clear" w:color="auto" w:fill="auto"/>
            <w:noWrap/>
            <w:hideMark/>
          </w:tcPr>
          <w:p w14:paraId="13CC15D8" w14:textId="677BD31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6,437,760</w:t>
            </w:r>
          </w:p>
        </w:tc>
        <w:tc>
          <w:tcPr>
            <w:tcW w:w="616" w:type="pct"/>
            <w:tcBorders>
              <w:top w:val="nil"/>
              <w:left w:val="nil"/>
              <w:bottom w:val="nil"/>
              <w:right w:val="nil"/>
            </w:tcBorders>
            <w:shd w:val="clear" w:color="auto" w:fill="auto"/>
            <w:noWrap/>
            <w:hideMark/>
          </w:tcPr>
          <w:p w14:paraId="176EA9F5" w14:textId="565C235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6,824,025</w:t>
            </w:r>
          </w:p>
        </w:tc>
        <w:tc>
          <w:tcPr>
            <w:tcW w:w="616" w:type="pct"/>
            <w:tcBorders>
              <w:top w:val="nil"/>
              <w:left w:val="nil"/>
              <w:bottom w:val="nil"/>
              <w:right w:val="nil"/>
            </w:tcBorders>
            <w:shd w:val="clear" w:color="auto" w:fill="auto"/>
            <w:noWrap/>
            <w:hideMark/>
          </w:tcPr>
          <w:p w14:paraId="0B7ACF1C" w14:textId="03B4F6D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7,233,467</w:t>
            </w:r>
          </w:p>
        </w:tc>
        <w:tc>
          <w:tcPr>
            <w:tcW w:w="616" w:type="pct"/>
            <w:tcBorders>
              <w:top w:val="nil"/>
              <w:left w:val="nil"/>
              <w:bottom w:val="nil"/>
              <w:right w:val="nil"/>
            </w:tcBorders>
            <w:shd w:val="clear" w:color="auto" w:fill="auto"/>
            <w:noWrap/>
            <w:hideMark/>
          </w:tcPr>
          <w:p w14:paraId="01681402" w14:textId="003CF64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28,057,289</w:t>
            </w:r>
          </w:p>
        </w:tc>
      </w:tr>
      <w:tr w:rsidR="003B7009" w:rsidRPr="003B7009" w14:paraId="27B97E83" w14:textId="77777777" w:rsidTr="00E57C0E">
        <w:trPr>
          <w:trHeight w:val="20"/>
        </w:trPr>
        <w:tc>
          <w:tcPr>
            <w:tcW w:w="1305" w:type="pct"/>
            <w:tcBorders>
              <w:top w:val="nil"/>
              <w:left w:val="nil"/>
              <w:bottom w:val="nil"/>
              <w:right w:val="nil"/>
            </w:tcBorders>
            <w:shd w:val="clear" w:color="auto" w:fill="auto"/>
            <w:noWrap/>
            <w:hideMark/>
          </w:tcPr>
          <w:p w14:paraId="378ECFFE"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GPS - Basic Research</w:t>
            </w:r>
          </w:p>
        </w:tc>
        <w:tc>
          <w:tcPr>
            <w:tcW w:w="616" w:type="pct"/>
            <w:tcBorders>
              <w:top w:val="nil"/>
              <w:left w:val="nil"/>
              <w:bottom w:val="nil"/>
              <w:right w:val="nil"/>
            </w:tcBorders>
            <w:shd w:val="clear" w:color="auto" w:fill="auto"/>
            <w:noWrap/>
            <w:hideMark/>
          </w:tcPr>
          <w:p w14:paraId="7CCE05C5" w14:textId="29354C9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6C04B75" w14:textId="1764129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A1B88C5" w14:textId="36C19FD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D5AA910" w14:textId="2CE363B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A1486D5" w14:textId="3415F85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0855FD0" w14:textId="7ACD88E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49BBD7C2" w14:textId="77777777" w:rsidTr="00E57C0E">
        <w:trPr>
          <w:trHeight w:val="20"/>
        </w:trPr>
        <w:tc>
          <w:tcPr>
            <w:tcW w:w="1305" w:type="pct"/>
            <w:tcBorders>
              <w:top w:val="nil"/>
              <w:left w:val="nil"/>
              <w:bottom w:val="nil"/>
              <w:right w:val="nil"/>
            </w:tcBorders>
            <w:shd w:val="clear" w:color="auto" w:fill="auto"/>
            <w:noWrap/>
            <w:hideMark/>
          </w:tcPr>
          <w:p w14:paraId="12373A2A"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GPS - R&amp;D General public services</w:t>
            </w:r>
          </w:p>
        </w:tc>
        <w:tc>
          <w:tcPr>
            <w:tcW w:w="616" w:type="pct"/>
            <w:tcBorders>
              <w:top w:val="nil"/>
              <w:left w:val="nil"/>
              <w:bottom w:val="nil"/>
              <w:right w:val="nil"/>
            </w:tcBorders>
            <w:shd w:val="clear" w:color="auto" w:fill="auto"/>
            <w:noWrap/>
            <w:hideMark/>
          </w:tcPr>
          <w:p w14:paraId="6BBF172D" w14:textId="49945D6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CE902D9" w14:textId="1017101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21F0F15" w14:textId="18EEB68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C9260B5" w14:textId="56EFBFC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694F5EA" w14:textId="2D17AF4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BAAFD14" w14:textId="4C58704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7A290AF9" w14:textId="77777777" w:rsidTr="00E57C0E">
        <w:trPr>
          <w:trHeight w:val="20"/>
        </w:trPr>
        <w:tc>
          <w:tcPr>
            <w:tcW w:w="1305" w:type="pct"/>
            <w:tcBorders>
              <w:top w:val="nil"/>
              <w:left w:val="nil"/>
              <w:bottom w:val="nil"/>
              <w:right w:val="nil"/>
            </w:tcBorders>
            <w:shd w:val="clear" w:color="auto" w:fill="auto"/>
            <w:noWrap/>
            <w:hideMark/>
          </w:tcPr>
          <w:p w14:paraId="4651121B"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GPS - General Public Services n.e.c.</w:t>
            </w:r>
          </w:p>
        </w:tc>
        <w:tc>
          <w:tcPr>
            <w:tcW w:w="616" w:type="pct"/>
            <w:tcBorders>
              <w:top w:val="nil"/>
              <w:left w:val="nil"/>
              <w:bottom w:val="nil"/>
              <w:right w:val="nil"/>
            </w:tcBorders>
            <w:shd w:val="clear" w:color="auto" w:fill="auto"/>
            <w:noWrap/>
            <w:hideMark/>
          </w:tcPr>
          <w:p w14:paraId="2F306D7A" w14:textId="7EA8A48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FE4A8B9" w14:textId="284E0A3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229C562" w14:textId="6F0E62F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78603F7" w14:textId="42B721A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B52D985" w14:textId="44590AC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46FA565" w14:textId="0FAF7C4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382C6DA8" w14:textId="77777777" w:rsidTr="00E57C0E">
        <w:trPr>
          <w:trHeight w:val="20"/>
        </w:trPr>
        <w:tc>
          <w:tcPr>
            <w:tcW w:w="1305" w:type="pct"/>
            <w:tcBorders>
              <w:top w:val="nil"/>
              <w:left w:val="nil"/>
              <w:bottom w:val="nil"/>
              <w:right w:val="nil"/>
            </w:tcBorders>
            <w:shd w:val="clear" w:color="auto" w:fill="auto"/>
            <w:noWrap/>
            <w:hideMark/>
          </w:tcPr>
          <w:p w14:paraId="1396F942"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GPS - Public debt transactions</w:t>
            </w:r>
          </w:p>
        </w:tc>
        <w:tc>
          <w:tcPr>
            <w:tcW w:w="616" w:type="pct"/>
            <w:tcBorders>
              <w:top w:val="nil"/>
              <w:left w:val="nil"/>
              <w:bottom w:val="nil"/>
              <w:right w:val="nil"/>
            </w:tcBorders>
            <w:shd w:val="clear" w:color="auto" w:fill="auto"/>
            <w:noWrap/>
            <w:hideMark/>
          </w:tcPr>
          <w:p w14:paraId="21E503C3" w14:textId="0EB26DF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9CE1ED0" w14:textId="7BA4F90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380FCA3" w14:textId="237BC06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668C259" w14:textId="6F25E20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BF48E9A" w14:textId="46DD08D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00F5B40" w14:textId="0D607BD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35D4E8A0" w14:textId="77777777" w:rsidTr="00E57C0E">
        <w:trPr>
          <w:trHeight w:val="20"/>
        </w:trPr>
        <w:tc>
          <w:tcPr>
            <w:tcW w:w="1305" w:type="pct"/>
            <w:tcBorders>
              <w:top w:val="single" w:sz="4" w:space="0" w:color="auto"/>
              <w:left w:val="nil"/>
              <w:bottom w:val="nil"/>
              <w:right w:val="nil"/>
            </w:tcBorders>
            <w:shd w:val="clear" w:color="auto" w:fill="E3F1E1" w:themeFill="accent4" w:themeFillTint="33"/>
            <w:hideMark/>
          </w:tcPr>
          <w:p w14:paraId="1B77A3D8"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Defence</w:t>
            </w:r>
          </w:p>
        </w:tc>
        <w:tc>
          <w:tcPr>
            <w:tcW w:w="616" w:type="pct"/>
            <w:tcBorders>
              <w:top w:val="single" w:sz="4" w:space="0" w:color="auto"/>
              <w:left w:val="nil"/>
              <w:bottom w:val="nil"/>
              <w:right w:val="nil"/>
            </w:tcBorders>
            <w:shd w:val="clear" w:color="auto" w:fill="E3F1E1" w:themeFill="accent4" w:themeFillTint="33"/>
            <w:hideMark/>
          </w:tcPr>
          <w:p w14:paraId="57D558D4" w14:textId="4DE4812D"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2EBDA22C" w14:textId="0022C24D"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3C032DB4" w14:textId="16BA67F1"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449,440</w:t>
            </w:r>
          </w:p>
        </w:tc>
        <w:tc>
          <w:tcPr>
            <w:tcW w:w="616" w:type="pct"/>
            <w:tcBorders>
              <w:top w:val="single" w:sz="4" w:space="0" w:color="auto"/>
              <w:left w:val="nil"/>
              <w:bottom w:val="nil"/>
              <w:right w:val="nil"/>
            </w:tcBorders>
            <w:shd w:val="clear" w:color="auto" w:fill="E3F1E1" w:themeFill="accent4" w:themeFillTint="33"/>
            <w:hideMark/>
          </w:tcPr>
          <w:p w14:paraId="60FD2350" w14:textId="2576C869"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476,406</w:t>
            </w:r>
          </w:p>
        </w:tc>
        <w:tc>
          <w:tcPr>
            <w:tcW w:w="616" w:type="pct"/>
            <w:tcBorders>
              <w:top w:val="single" w:sz="4" w:space="0" w:color="auto"/>
              <w:left w:val="nil"/>
              <w:bottom w:val="nil"/>
              <w:right w:val="nil"/>
            </w:tcBorders>
            <w:shd w:val="clear" w:color="auto" w:fill="E3F1E1" w:themeFill="accent4" w:themeFillTint="33"/>
            <w:hideMark/>
          </w:tcPr>
          <w:p w14:paraId="6A40947E" w14:textId="091A2257"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504,991</w:t>
            </w:r>
          </w:p>
        </w:tc>
        <w:tc>
          <w:tcPr>
            <w:tcW w:w="616" w:type="pct"/>
            <w:tcBorders>
              <w:top w:val="single" w:sz="4" w:space="0" w:color="auto"/>
              <w:left w:val="nil"/>
              <w:bottom w:val="nil"/>
              <w:right w:val="nil"/>
            </w:tcBorders>
            <w:shd w:val="clear" w:color="auto" w:fill="E3F1E1" w:themeFill="accent4" w:themeFillTint="33"/>
            <w:hideMark/>
          </w:tcPr>
          <w:p w14:paraId="4A8D9D35" w14:textId="1DDEDE92"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1,430,837</w:t>
            </w:r>
          </w:p>
        </w:tc>
      </w:tr>
      <w:tr w:rsidR="003B7009" w:rsidRPr="003B7009" w14:paraId="20E00ADD" w14:textId="77777777" w:rsidTr="00E57C0E">
        <w:trPr>
          <w:trHeight w:val="20"/>
        </w:trPr>
        <w:tc>
          <w:tcPr>
            <w:tcW w:w="1305" w:type="pct"/>
            <w:tcBorders>
              <w:top w:val="nil"/>
              <w:left w:val="nil"/>
              <w:bottom w:val="nil"/>
              <w:right w:val="nil"/>
            </w:tcBorders>
            <w:shd w:val="clear" w:color="auto" w:fill="auto"/>
            <w:noWrap/>
            <w:hideMark/>
          </w:tcPr>
          <w:p w14:paraId="43ED0AF5"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D - Military Defence</w:t>
            </w:r>
          </w:p>
        </w:tc>
        <w:tc>
          <w:tcPr>
            <w:tcW w:w="616" w:type="pct"/>
            <w:tcBorders>
              <w:top w:val="nil"/>
              <w:left w:val="nil"/>
              <w:bottom w:val="nil"/>
              <w:right w:val="nil"/>
            </w:tcBorders>
            <w:shd w:val="clear" w:color="auto" w:fill="auto"/>
            <w:noWrap/>
            <w:hideMark/>
          </w:tcPr>
          <w:p w14:paraId="77CA21C2" w14:textId="38BDDB3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07DF7A1" w14:textId="59286EC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B91A18C" w14:textId="12DEDC0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CEF4B54" w14:textId="115B6EE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329BCB1" w14:textId="1A63EF8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338B0B6" w14:textId="55A3FD4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6EB7B40" w14:textId="77777777" w:rsidTr="00E57C0E">
        <w:trPr>
          <w:trHeight w:val="20"/>
        </w:trPr>
        <w:tc>
          <w:tcPr>
            <w:tcW w:w="1305" w:type="pct"/>
            <w:tcBorders>
              <w:top w:val="nil"/>
              <w:left w:val="nil"/>
              <w:bottom w:val="nil"/>
              <w:right w:val="nil"/>
            </w:tcBorders>
            <w:shd w:val="clear" w:color="auto" w:fill="auto"/>
            <w:noWrap/>
            <w:hideMark/>
          </w:tcPr>
          <w:p w14:paraId="4E0D8478"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D - Civil Defence</w:t>
            </w:r>
          </w:p>
        </w:tc>
        <w:tc>
          <w:tcPr>
            <w:tcW w:w="616" w:type="pct"/>
            <w:tcBorders>
              <w:top w:val="nil"/>
              <w:left w:val="nil"/>
              <w:bottom w:val="nil"/>
              <w:right w:val="nil"/>
            </w:tcBorders>
            <w:shd w:val="clear" w:color="auto" w:fill="auto"/>
            <w:noWrap/>
            <w:hideMark/>
          </w:tcPr>
          <w:p w14:paraId="779FD4AB" w14:textId="6336293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9AEA599" w14:textId="5C47495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C13B3A0" w14:textId="7B65E52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449,440</w:t>
            </w:r>
          </w:p>
        </w:tc>
        <w:tc>
          <w:tcPr>
            <w:tcW w:w="616" w:type="pct"/>
            <w:tcBorders>
              <w:top w:val="nil"/>
              <w:left w:val="nil"/>
              <w:bottom w:val="nil"/>
              <w:right w:val="nil"/>
            </w:tcBorders>
            <w:shd w:val="clear" w:color="auto" w:fill="auto"/>
            <w:noWrap/>
            <w:hideMark/>
          </w:tcPr>
          <w:p w14:paraId="2ADEE12F" w14:textId="4404091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476,406</w:t>
            </w:r>
          </w:p>
        </w:tc>
        <w:tc>
          <w:tcPr>
            <w:tcW w:w="616" w:type="pct"/>
            <w:tcBorders>
              <w:top w:val="nil"/>
              <w:left w:val="nil"/>
              <w:bottom w:val="nil"/>
              <w:right w:val="nil"/>
            </w:tcBorders>
            <w:shd w:val="clear" w:color="auto" w:fill="auto"/>
            <w:noWrap/>
            <w:hideMark/>
          </w:tcPr>
          <w:p w14:paraId="43719CAB" w14:textId="0AA20E8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c>
          <w:tcPr>
            <w:tcW w:w="616" w:type="pct"/>
            <w:tcBorders>
              <w:top w:val="nil"/>
              <w:left w:val="nil"/>
              <w:bottom w:val="nil"/>
              <w:right w:val="nil"/>
            </w:tcBorders>
            <w:shd w:val="clear" w:color="auto" w:fill="auto"/>
            <w:noWrap/>
            <w:hideMark/>
          </w:tcPr>
          <w:p w14:paraId="789428BB" w14:textId="06FC3BC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1,430,837</w:t>
            </w:r>
          </w:p>
        </w:tc>
      </w:tr>
      <w:tr w:rsidR="003B7009" w:rsidRPr="003B7009" w14:paraId="6FB1AE31" w14:textId="77777777" w:rsidTr="00E57C0E">
        <w:trPr>
          <w:trHeight w:val="20"/>
        </w:trPr>
        <w:tc>
          <w:tcPr>
            <w:tcW w:w="1305" w:type="pct"/>
            <w:tcBorders>
              <w:top w:val="nil"/>
              <w:left w:val="nil"/>
              <w:bottom w:val="nil"/>
              <w:right w:val="nil"/>
            </w:tcBorders>
            <w:shd w:val="clear" w:color="auto" w:fill="auto"/>
            <w:noWrap/>
            <w:hideMark/>
          </w:tcPr>
          <w:p w14:paraId="72E4470D"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D - R&amp;D Defence</w:t>
            </w:r>
          </w:p>
        </w:tc>
        <w:tc>
          <w:tcPr>
            <w:tcW w:w="616" w:type="pct"/>
            <w:tcBorders>
              <w:top w:val="nil"/>
              <w:left w:val="nil"/>
              <w:bottom w:val="nil"/>
              <w:right w:val="nil"/>
            </w:tcBorders>
            <w:shd w:val="clear" w:color="auto" w:fill="auto"/>
            <w:noWrap/>
            <w:hideMark/>
          </w:tcPr>
          <w:p w14:paraId="3A86A0C7" w14:textId="3C11209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9D2D13A" w14:textId="72C1338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7B17D3C" w14:textId="0D7E2AE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F1E0E22" w14:textId="64DF298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F11160C" w14:textId="1765B37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D87D98C" w14:textId="1BC0C67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C1FE22D" w14:textId="77777777" w:rsidTr="00E57C0E">
        <w:trPr>
          <w:trHeight w:val="20"/>
        </w:trPr>
        <w:tc>
          <w:tcPr>
            <w:tcW w:w="1305" w:type="pct"/>
            <w:tcBorders>
              <w:top w:val="single" w:sz="4" w:space="0" w:color="auto"/>
              <w:left w:val="nil"/>
              <w:bottom w:val="nil"/>
              <w:right w:val="nil"/>
            </w:tcBorders>
            <w:shd w:val="clear" w:color="auto" w:fill="E3F1E1" w:themeFill="accent4" w:themeFillTint="33"/>
            <w:hideMark/>
          </w:tcPr>
          <w:p w14:paraId="0E7481F1"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Public Order and Safety</w:t>
            </w:r>
          </w:p>
        </w:tc>
        <w:tc>
          <w:tcPr>
            <w:tcW w:w="616" w:type="pct"/>
            <w:tcBorders>
              <w:top w:val="single" w:sz="4" w:space="0" w:color="auto"/>
              <w:left w:val="nil"/>
              <w:bottom w:val="nil"/>
              <w:right w:val="nil"/>
            </w:tcBorders>
            <w:shd w:val="clear" w:color="auto" w:fill="E3F1E1" w:themeFill="accent4" w:themeFillTint="33"/>
            <w:hideMark/>
          </w:tcPr>
          <w:p w14:paraId="26A9C302" w14:textId="6AAD5E76"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264,000</w:t>
            </w:r>
          </w:p>
        </w:tc>
        <w:tc>
          <w:tcPr>
            <w:tcW w:w="616" w:type="pct"/>
            <w:tcBorders>
              <w:top w:val="single" w:sz="4" w:space="0" w:color="auto"/>
              <w:left w:val="nil"/>
              <w:bottom w:val="nil"/>
              <w:right w:val="nil"/>
            </w:tcBorders>
            <w:shd w:val="clear" w:color="auto" w:fill="E3F1E1" w:themeFill="accent4" w:themeFillTint="33"/>
            <w:hideMark/>
          </w:tcPr>
          <w:p w14:paraId="59AAF001" w14:textId="13483B68"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1,221,120</w:t>
            </w:r>
          </w:p>
        </w:tc>
        <w:tc>
          <w:tcPr>
            <w:tcW w:w="616" w:type="pct"/>
            <w:tcBorders>
              <w:top w:val="single" w:sz="4" w:space="0" w:color="auto"/>
              <w:left w:val="nil"/>
              <w:bottom w:val="nil"/>
              <w:right w:val="nil"/>
            </w:tcBorders>
            <w:shd w:val="clear" w:color="auto" w:fill="E3F1E1" w:themeFill="accent4" w:themeFillTint="33"/>
            <w:hideMark/>
          </w:tcPr>
          <w:p w14:paraId="0DC62CC2" w14:textId="0AB7E1C8"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1,393,264</w:t>
            </w:r>
          </w:p>
        </w:tc>
        <w:tc>
          <w:tcPr>
            <w:tcW w:w="616" w:type="pct"/>
            <w:tcBorders>
              <w:top w:val="single" w:sz="4" w:space="0" w:color="auto"/>
              <w:left w:val="nil"/>
              <w:bottom w:val="nil"/>
              <w:right w:val="nil"/>
            </w:tcBorders>
            <w:shd w:val="clear" w:color="auto" w:fill="E3F1E1" w:themeFill="accent4" w:themeFillTint="33"/>
            <w:hideMark/>
          </w:tcPr>
          <w:p w14:paraId="06AFD284" w14:textId="3B08CBE4"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1,476,860</w:t>
            </w:r>
          </w:p>
        </w:tc>
        <w:tc>
          <w:tcPr>
            <w:tcW w:w="616" w:type="pct"/>
            <w:tcBorders>
              <w:top w:val="single" w:sz="4" w:space="0" w:color="auto"/>
              <w:left w:val="nil"/>
              <w:bottom w:val="nil"/>
              <w:right w:val="nil"/>
            </w:tcBorders>
            <w:shd w:val="clear" w:color="auto" w:fill="E3F1E1" w:themeFill="accent4" w:themeFillTint="33"/>
            <w:hideMark/>
          </w:tcPr>
          <w:p w14:paraId="222BC2BC" w14:textId="7BD5BFEA"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2,070,462</w:t>
            </w:r>
          </w:p>
        </w:tc>
        <w:tc>
          <w:tcPr>
            <w:tcW w:w="616" w:type="pct"/>
            <w:tcBorders>
              <w:top w:val="single" w:sz="4" w:space="0" w:color="auto"/>
              <w:left w:val="nil"/>
              <w:bottom w:val="nil"/>
              <w:right w:val="nil"/>
            </w:tcBorders>
            <w:shd w:val="clear" w:color="auto" w:fill="E3F1E1" w:themeFill="accent4" w:themeFillTint="33"/>
            <w:hideMark/>
          </w:tcPr>
          <w:p w14:paraId="03DA634B" w14:textId="5ECFBFA1"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6,425,706</w:t>
            </w:r>
          </w:p>
        </w:tc>
      </w:tr>
      <w:tr w:rsidR="003B7009" w:rsidRPr="003B7009" w14:paraId="45190A9A" w14:textId="77777777" w:rsidTr="00E57C0E">
        <w:trPr>
          <w:trHeight w:val="20"/>
        </w:trPr>
        <w:tc>
          <w:tcPr>
            <w:tcW w:w="1305" w:type="pct"/>
            <w:tcBorders>
              <w:top w:val="nil"/>
              <w:left w:val="nil"/>
              <w:bottom w:val="nil"/>
              <w:right w:val="nil"/>
            </w:tcBorders>
            <w:shd w:val="clear" w:color="auto" w:fill="auto"/>
            <w:noWrap/>
            <w:hideMark/>
          </w:tcPr>
          <w:p w14:paraId="1E34BF74"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POS - Police Services</w:t>
            </w:r>
          </w:p>
        </w:tc>
        <w:tc>
          <w:tcPr>
            <w:tcW w:w="616" w:type="pct"/>
            <w:tcBorders>
              <w:top w:val="nil"/>
              <w:left w:val="nil"/>
              <w:bottom w:val="nil"/>
              <w:right w:val="nil"/>
            </w:tcBorders>
            <w:shd w:val="clear" w:color="auto" w:fill="auto"/>
            <w:noWrap/>
            <w:hideMark/>
          </w:tcPr>
          <w:p w14:paraId="68A17637" w14:textId="5612F72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264,000</w:t>
            </w:r>
          </w:p>
        </w:tc>
        <w:tc>
          <w:tcPr>
            <w:tcW w:w="616" w:type="pct"/>
            <w:tcBorders>
              <w:top w:val="nil"/>
              <w:left w:val="nil"/>
              <w:bottom w:val="nil"/>
              <w:right w:val="nil"/>
            </w:tcBorders>
            <w:shd w:val="clear" w:color="auto" w:fill="auto"/>
            <w:noWrap/>
            <w:hideMark/>
          </w:tcPr>
          <w:p w14:paraId="15411B36" w14:textId="0877AE3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797,120</w:t>
            </w:r>
          </w:p>
        </w:tc>
        <w:tc>
          <w:tcPr>
            <w:tcW w:w="616" w:type="pct"/>
            <w:tcBorders>
              <w:top w:val="nil"/>
              <w:left w:val="nil"/>
              <w:bottom w:val="nil"/>
              <w:right w:val="nil"/>
            </w:tcBorders>
            <w:shd w:val="clear" w:color="auto" w:fill="auto"/>
            <w:noWrap/>
            <w:hideMark/>
          </w:tcPr>
          <w:p w14:paraId="7DBDAA6D" w14:textId="3F483F2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943,824</w:t>
            </w:r>
          </w:p>
        </w:tc>
        <w:tc>
          <w:tcPr>
            <w:tcW w:w="616" w:type="pct"/>
            <w:tcBorders>
              <w:top w:val="nil"/>
              <w:left w:val="nil"/>
              <w:bottom w:val="nil"/>
              <w:right w:val="nil"/>
            </w:tcBorders>
            <w:shd w:val="clear" w:color="auto" w:fill="auto"/>
            <w:noWrap/>
            <w:hideMark/>
          </w:tcPr>
          <w:p w14:paraId="70400032" w14:textId="332D251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1,000,453</w:t>
            </w:r>
          </w:p>
        </w:tc>
        <w:tc>
          <w:tcPr>
            <w:tcW w:w="616" w:type="pct"/>
            <w:tcBorders>
              <w:top w:val="nil"/>
              <w:left w:val="nil"/>
              <w:bottom w:val="nil"/>
              <w:right w:val="nil"/>
            </w:tcBorders>
            <w:shd w:val="clear" w:color="auto" w:fill="auto"/>
            <w:noWrap/>
            <w:hideMark/>
          </w:tcPr>
          <w:p w14:paraId="62546DE1" w14:textId="3F72D0A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1,060,481</w:t>
            </w:r>
          </w:p>
        </w:tc>
        <w:tc>
          <w:tcPr>
            <w:tcW w:w="616" w:type="pct"/>
            <w:tcBorders>
              <w:top w:val="nil"/>
              <w:left w:val="nil"/>
              <w:bottom w:val="nil"/>
              <w:right w:val="nil"/>
            </w:tcBorders>
            <w:shd w:val="clear" w:color="auto" w:fill="auto"/>
            <w:noWrap/>
            <w:hideMark/>
          </w:tcPr>
          <w:p w14:paraId="5C084A58" w14:textId="5C2861D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4,065,878</w:t>
            </w:r>
          </w:p>
        </w:tc>
      </w:tr>
      <w:tr w:rsidR="003B7009" w:rsidRPr="003B7009" w14:paraId="66F8B1AD" w14:textId="77777777" w:rsidTr="00E57C0E">
        <w:trPr>
          <w:trHeight w:val="20"/>
        </w:trPr>
        <w:tc>
          <w:tcPr>
            <w:tcW w:w="1305" w:type="pct"/>
            <w:tcBorders>
              <w:top w:val="nil"/>
              <w:left w:val="nil"/>
              <w:bottom w:val="nil"/>
              <w:right w:val="nil"/>
            </w:tcBorders>
            <w:shd w:val="clear" w:color="auto" w:fill="auto"/>
            <w:noWrap/>
            <w:hideMark/>
          </w:tcPr>
          <w:p w14:paraId="6CB8A0B7"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POS - Fire Protection Services</w:t>
            </w:r>
          </w:p>
        </w:tc>
        <w:tc>
          <w:tcPr>
            <w:tcW w:w="616" w:type="pct"/>
            <w:tcBorders>
              <w:top w:val="nil"/>
              <w:left w:val="nil"/>
              <w:bottom w:val="nil"/>
              <w:right w:val="nil"/>
            </w:tcBorders>
            <w:shd w:val="clear" w:color="auto" w:fill="auto"/>
            <w:noWrap/>
            <w:hideMark/>
          </w:tcPr>
          <w:p w14:paraId="01FA8678" w14:textId="21C82A5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30551FC" w14:textId="50B1CB4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E26E05A" w14:textId="398AB79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479C930" w14:textId="306B726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F280962" w14:textId="65C8E78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DFCD15C" w14:textId="47EBC96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B490D50" w14:textId="77777777" w:rsidTr="00E57C0E">
        <w:trPr>
          <w:trHeight w:val="20"/>
        </w:trPr>
        <w:tc>
          <w:tcPr>
            <w:tcW w:w="1305" w:type="pct"/>
            <w:tcBorders>
              <w:top w:val="nil"/>
              <w:left w:val="nil"/>
              <w:bottom w:val="nil"/>
              <w:right w:val="nil"/>
            </w:tcBorders>
            <w:shd w:val="clear" w:color="auto" w:fill="auto"/>
            <w:noWrap/>
            <w:hideMark/>
          </w:tcPr>
          <w:p w14:paraId="6DC53268"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POS - Law Courts</w:t>
            </w:r>
          </w:p>
        </w:tc>
        <w:tc>
          <w:tcPr>
            <w:tcW w:w="616" w:type="pct"/>
            <w:tcBorders>
              <w:top w:val="nil"/>
              <w:left w:val="nil"/>
              <w:bottom w:val="nil"/>
              <w:right w:val="nil"/>
            </w:tcBorders>
            <w:shd w:val="clear" w:color="auto" w:fill="auto"/>
            <w:noWrap/>
            <w:hideMark/>
          </w:tcPr>
          <w:p w14:paraId="412BA396" w14:textId="48CC5FF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22F893C" w14:textId="1C8280B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4B0912C" w14:textId="146B24D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4BE1EAC" w14:textId="0ED5DB3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CAB9695" w14:textId="4F15596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DBCB3C3" w14:textId="53EA521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23C7A146" w14:textId="77777777" w:rsidTr="00E57C0E">
        <w:trPr>
          <w:trHeight w:val="20"/>
        </w:trPr>
        <w:tc>
          <w:tcPr>
            <w:tcW w:w="1305" w:type="pct"/>
            <w:tcBorders>
              <w:top w:val="nil"/>
              <w:left w:val="nil"/>
              <w:bottom w:val="nil"/>
              <w:right w:val="nil"/>
            </w:tcBorders>
            <w:shd w:val="clear" w:color="auto" w:fill="auto"/>
            <w:noWrap/>
            <w:hideMark/>
          </w:tcPr>
          <w:p w14:paraId="6C90AF38"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POS - Prisons</w:t>
            </w:r>
          </w:p>
        </w:tc>
        <w:tc>
          <w:tcPr>
            <w:tcW w:w="616" w:type="pct"/>
            <w:tcBorders>
              <w:top w:val="nil"/>
              <w:left w:val="nil"/>
              <w:bottom w:val="nil"/>
              <w:right w:val="nil"/>
            </w:tcBorders>
            <w:shd w:val="clear" w:color="auto" w:fill="auto"/>
            <w:noWrap/>
            <w:hideMark/>
          </w:tcPr>
          <w:p w14:paraId="059EEC9C" w14:textId="76EB772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CE7DA7D" w14:textId="54FB41E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5B5C1A2" w14:textId="4BAB5F9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8D21D9F" w14:textId="0B99297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FC73853" w14:textId="7D93D7D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8C8A0A4" w14:textId="56A3E50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21221C72" w14:textId="77777777" w:rsidTr="00E57C0E">
        <w:trPr>
          <w:trHeight w:val="20"/>
        </w:trPr>
        <w:tc>
          <w:tcPr>
            <w:tcW w:w="1305" w:type="pct"/>
            <w:tcBorders>
              <w:top w:val="nil"/>
              <w:left w:val="nil"/>
              <w:bottom w:val="nil"/>
              <w:right w:val="nil"/>
            </w:tcBorders>
            <w:shd w:val="clear" w:color="auto" w:fill="auto"/>
            <w:noWrap/>
            <w:hideMark/>
          </w:tcPr>
          <w:p w14:paraId="3C82D146"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POS - Public Order and Safety n.e.c.</w:t>
            </w:r>
          </w:p>
        </w:tc>
        <w:tc>
          <w:tcPr>
            <w:tcW w:w="616" w:type="pct"/>
            <w:tcBorders>
              <w:top w:val="nil"/>
              <w:left w:val="nil"/>
              <w:bottom w:val="nil"/>
              <w:right w:val="nil"/>
            </w:tcBorders>
            <w:shd w:val="clear" w:color="auto" w:fill="auto"/>
            <w:noWrap/>
            <w:hideMark/>
          </w:tcPr>
          <w:p w14:paraId="01A331EA" w14:textId="185F174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CBE9C6C" w14:textId="521D9AB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424,000</w:t>
            </w:r>
          </w:p>
        </w:tc>
        <w:tc>
          <w:tcPr>
            <w:tcW w:w="616" w:type="pct"/>
            <w:tcBorders>
              <w:top w:val="nil"/>
              <w:left w:val="nil"/>
              <w:bottom w:val="nil"/>
              <w:right w:val="nil"/>
            </w:tcBorders>
            <w:shd w:val="clear" w:color="auto" w:fill="auto"/>
            <w:noWrap/>
            <w:hideMark/>
          </w:tcPr>
          <w:p w14:paraId="6783C0D6" w14:textId="35ABAD4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449,440</w:t>
            </w:r>
          </w:p>
        </w:tc>
        <w:tc>
          <w:tcPr>
            <w:tcW w:w="616" w:type="pct"/>
            <w:tcBorders>
              <w:top w:val="nil"/>
              <w:left w:val="nil"/>
              <w:bottom w:val="nil"/>
              <w:right w:val="nil"/>
            </w:tcBorders>
            <w:shd w:val="clear" w:color="auto" w:fill="auto"/>
            <w:noWrap/>
            <w:hideMark/>
          </w:tcPr>
          <w:p w14:paraId="4489C2CF" w14:textId="46D1BE6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476,406</w:t>
            </w:r>
          </w:p>
        </w:tc>
        <w:tc>
          <w:tcPr>
            <w:tcW w:w="616" w:type="pct"/>
            <w:tcBorders>
              <w:top w:val="nil"/>
              <w:left w:val="nil"/>
              <w:bottom w:val="nil"/>
              <w:right w:val="nil"/>
            </w:tcBorders>
            <w:shd w:val="clear" w:color="auto" w:fill="auto"/>
            <w:noWrap/>
            <w:hideMark/>
          </w:tcPr>
          <w:p w14:paraId="74035CB5" w14:textId="227C200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1,009,982</w:t>
            </w:r>
          </w:p>
        </w:tc>
        <w:tc>
          <w:tcPr>
            <w:tcW w:w="616" w:type="pct"/>
            <w:tcBorders>
              <w:top w:val="nil"/>
              <w:left w:val="nil"/>
              <w:bottom w:val="nil"/>
              <w:right w:val="nil"/>
            </w:tcBorders>
            <w:shd w:val="clear" w:color="auto" w:fill="auto"/>
            <w:noWrap/>
            <w:hideMark/>
          </w:tcPr>
          <w:p w14:paraId="40087FF8" w14:textId="040B9FF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2,359,828</w:t>
            </w:r>
          </w:p>
        </w:tc>
      </w:tr>
      <w:tr w:rsidR="003B7009" w:rsidRPr="003B7009" w14:paraId="3CA83D0A" w14:textId="77777777" w:rsidTr="00E57C0E">
        <w:trPr>
          <w:trHeight w:val="20"/>
        </w:trPr>
        <w:tc>
          <w:tcPr>
            <w:tcW w:w="1305" w:type="pct"/>
            <w:tcBorders>
              <w:top w:val="single" w:sz="4" w:space="0" w:color="auto"/>
              <w:left w:val="nil"/>
              <w:bottom w:val="nil"/>
              <w:right w:val="nil"/>
            </w:tcBorders>
            <w:shd w:val="clear" w:color="auto" w:fill="E3F1E1" w:themeFill="accent4" w:themeFillTint="33"/>
            <w:hideMark/>
          </w:tcPr>
          <w:p w14:paraId="34AA029A"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Economic Affairs</w:t>
            </w:r>
          </w:p>
        </w:tc>
        <w:tc>
          <w:tcPr>
            <w:tcW w:w="616" w:type="pct"/>
            <w:tcBorders>
              <w:top w:val="single" w:sz="4" w:space="0" w:color="auto"/>
              <w:left w:val="nil"/>
              <w:bottom w:val="nil"/>
              <w:right w:val="nil"/>
            </w:tcBorders>
            <w:shd w:val="clear" w:color="auto" w:fill="E3F1E1" w:themeFill="accent4" w:themeFillTint="33"/>
            <w:hideMark/>
          </w:tcPr>
          <w:p w14:paraId="7932A8D5" w14:textId="396D57AA"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200,750</w:t>
            </w:r>
          </w:p>
        </w:tc>
        <w:tc>
          <w:tcPr>
            <w:tcW w:w="616" w:type="pct"/>
            <w:tcBorders>
              <w:top w:val="single" w:sz="4" w:space="0" w:color="auto"/>
              <w:left w:val="nil"/>
              <w:bottom w:val="nil"/>
              <w:right w:val="nil"/>
            </w:tcBorders>
            <w:shd w:val="clear" w:color="auto" w:fill="E3F1E1" w:themeFill="accent4" w:themeFillTint="33"/>
            <w:hideMark/>
          </w:tcPr>
          <w:p w14:paraId="2783D9E2" w14:textId="503B6EBA"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707,727</w:t>
            </w:r>
          </w:p>
        </w:tc>
        <w:tc>
          <w:tcPr>
            <w:tcW w:w="616" w:type="pct"/>
            <w:tcBorders>
              <w:top w:val="single" w:sz="4" w:space="0" w:color="auto"/>
              <w:left w:val="nil"/>
              <w:bottom w:val="nil"/>
              <w:right w:val="nil"/>
            </w:tcBorders>
            <w:shd w:val="clear" w:color="auto" w:fill="E3F1E1" w:themeFill="accent4" w:themeFillTint="33"/>
            <w:hideMark/>
          </w:tcPr>
          <w:p w14:paraId="084A792A" w14:textId="21F50A03"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1,724,258</w:t>
            </w:r>
          </w:p>
        </w:tc>
        <w:tc>
          <w:tcPr>
            <w:tcW w:w="616" w:type="pct"/>
            <w:tcBorders>
              <w:top w:val="single" w:sz="4" w:space="0" w:color="auto"/>
              <w:left w:val="nil"/>
              <w:bottom w:val="nil"/>
              <w:right w:val="nil"/>
            </w:tcBorders>
            <w:shd w:val="clear" w:color="auto" w:fill="E3F1E1" w:themeFill="accent4" w:themeFillTint="33"/>
            <w:hideMark/>
          </w:tcPr>
          <w:p w14:paraId="2C16ED5E" w14:textId="4F9DACAC"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2,304,120</w:t>
            </w:r>
          </w:p>
        </w:tc>
        <w:tc>
          <w:tcPr>
            <w:tcW w:w="616" w:type="pct"/>
            <w:tcBorders>
              <w:top w:val="single" w:sz="4" w:space="0" w:color="auto"/>
              <w:left w:val="nil"/>
              <w:bottom w:val="nil"/>
              <w:right w:val="nil"/>
            </w:tcBorders>
            <w:shd w:val="clear" w:color="auto" w:fill="E3F1E1" w:themeFill="accent4" w:themeFillTint="33"/>
            <w:hideMark/>
          </w:tcPr>
          <w:p w14:paraId="069CEFF7" w14:textId="58AD2077"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2,442,367</w:t>
            </w:r>
          </w:p>
        </w:tc>
        <w:tc>
          <w:tcPr>
            <w:tcW w:w="616" w:type="pct"/>
            <w:tcBorders>
              <w:top w:val="single" w:sz="4" w:space="0" w:color="auto"/>
              <w:left w:val="nil"/>
              <w:bottom w:val="nil"/>
              <w:right w:val="nil"/>
            </w:tcBorders>
            <w:shd w:val="clear" w:color="auto" w:fill="E3F1E1" w:themeFill="accent4" w:themeFillTint="33"/>
            <w:hideMark/>
          </w:tcPr>
          <w:p w14:paraId="4DAE8EC7" w14:textId="272144A7"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7,379,221</w:t>
            </w:r>
          </w:p>
        </w:tc>
      </w:tr>
      <w:tr w:rsidR="003B7009" w:rsidRPr="003B7009" w14:paraId="2ED0E16D" w14:textId="77777777" w:rsidTr="00E57C0E">
        <w:trPr>
          <w:trHeight w:val="20"/>
        </w:trPr>
        <w:tc>
          <w:tcPr>
            <w:tcW w:w="1305" w:type="pct"/>
            <w:tcBorders>
              <w:top w:val="nil"/>
              <w:left w:val="nil"/>
              <w:bottom w:val="nil"/>
              <w:right w:val="nil"/>
            </w:tcBorders>
            <w:shd w:val="clear" w:color="auto" w:fill="auto"/>
            <w:noWrap/>
            <w:hideMark/>
          </w:tcPr>
          <w:p w14:paraId="1D3A6CD2"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General Economic, Commercial and Labour Services</w:t>
            </w:r>
          </w:p>
        </w:tc>
        <w:tc>
          <w:tcPr>
            <w:tcW w:w="616" w:type="pct"/>
            <w:tcBorders>
              <w:top w:val="nil"/>
              <w:left w:val="nil"/>
              <w:bottom w:val="nil"/>
              <w:right w:val="nil"/>
            </w:tcBorders>
            <w:shd w:val="clear" w:color="auto" w:fill="auto"/>
            <w:noWrap/>
            <w:hideMark/>
          </w:tcPr>
          <w:p w14:paraId="656D7301" w14:textId="7E76F78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145,750</w:t>
            </w:r>
          </w:p>
        </w:tc>
        <w:tc>
          <w:tcPr>
            <w:tcW w:w="616" w:type="pct"/>
            <w:tcBorders>
              <w:top w:val="nil"/>
              <w:left w:val="nil"/>
              <w:bottom w:val="nil"/>
              <w:right w:val="nil"/>
            </w:tcBorders>
            <w:shd w:val="clear" w:color="auto" w:fill="auto"/>
            <w:noWrap/>
            <w:hideMark/>
          </w:tcPr>
          <w:p w14:paraId="32E1C87A" w14:textId="0D532B1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205,993</w:t>
            </w:r>
          </w:p>
        </w:tc>
        <w:tc>
          <w:tcPr>
            <w:tcW w:w="616" w:type="pct"/>
            <w:tcBorders>
              <w:top w:val="nil"/>
              <w:left w:val="nil"/>
              <w:bottom w:val="nil"/>
              <w:right w:val="nil"/>
            </w:tcBorders>
            <w:shd w:val="clear" w:color="auto" w:fill="auto"/>
            <w:noWrap/>
            <w:hideMark/>
          </w:tcPr>
          <w:p w14:paraId="1AD4C55E" w14:textId="353EC66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272,941</w:t>
            </w:r>
          </w:p>
        </w:tc>
        <w:tc>
          <w:tcPr>
            <w:tcW w:w="616" w:type="pct"/>
            <w:tcBorders>
              <w:top w:val="nil"/>
              <w:left w:val="nil"/>
              <w:bottom w:val="nil"/>
              <w:right w:val="nil"/>
            </w:tcBorders>
            <w:shd w:val="clear" w:color="auto" w:fill="auto"/>
            <w:noWrap/>
            <w:hideMark/>
          </w:tcPr>
          <w:p w14:paraId="6FA460D7" w14:textId="5BAD44D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289,318</w:t>
            </w:r>
          </w:p>
        </w:tc>
        <w:tc>
          <w:tcPr>
            <w:tcW w:w="616" w:type="pct"/>
            <w:tcBorders>
              <w:top w:val="nil"/>
              <w:left w:val="nil"/>
              <w:bottom w:val="nil"/>
              <w:right w:val="nil"/>
            </w:tcBorders>
            <w:shd w:val="clear" w:color="auto" w:fill="auto"/>
            <w:noWrap/>
            <w:hideMark/>
          </w:tcPr>
          <w:p w14:paraId="10241311" w14:textId="6EED808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306,677</w:t>
            </w:r>
          </w:p>
        </w:tc>
        <w:tc>
          <w:tcPr>
            <w:tcW w:w="616" w:type="pct"/>
            <w:tcBorders>
              <w:top w:val="nil"/>
              <w:left w:val="nil"/>
              <w:bottom w:val="nil"/>
              <w:right w:val="nil"/>
            </w:tcBorders>
            <w:shd w:val="clear" w:color="auto" w:fill="auto"/>
            <w:noWrap/>
            <w:hideMark/>
          </w:tcPr>
          <w:p w14:paraId="52FC297F" w14:textId="1E05CF6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1,220,679</w:t>
            </w:r>
          </w:p>
        </w:tc>
      </w:tr>
      <w:tr w:rsidR="003B7009" w:rsidRPr="003B7009" w14:paraId="123DB64A" w14:textId="77777777" w:rsidTr="00E57C0E">
        <w:trPr>
          <w:trHeight w:val="20"/>
        </w:trPr>
        <w:tc>
          <w:tcPr>
            <w:tcW w:w="1305" w:type="pct"/>
            <w:tcBorders>
              <w:top w:val="nil"/>
              <w:left w:val="nil"/>
              <w:bottom w:val="nil"/>
              <w:right w:val="nil"/>
            </w:tcBorders>
            <w:shd w:val="clear" w:color="auto" w:fill="auto"/>
            <w:noWrap/>
            <w:hideMark/>
          </w:tcPr>
          <w:p w14:paraId="1E64E8D8"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Agriculture, Forestry, Fishing &amp; Hunting</w:t>
            </w:r>
          </w:p>
        </w:tc>
        <w:tc>
          <w:tcPr>
            <w:tcW w:w="616" w:type="pct"/>
            <w:tcBorders>
              <w:top w:val="nil"/>
              <w:left w:val="nil"/>
              <w:bottom w:val="nil"/>
              <w:right w:val="nil"/>
            </w:tcBorders>
            <w:shd w:val="clear" w:color="auto" w:fill="auto"/>
            <w:noWrap/>
            <w:hideMark/>
          </w:tcPr>
          <w:p w14:paraId="20455C92" w14:textId="5BC89B9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FFD0610" w14:textId="244F8ED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424,000</w:t>
            </w:r>
          </w:p>
        </w:tc>
        <w:tc>
          <w:tcPr>
            <w:tcW w:w="616" w:type="pct"/>
            <w:tcBorders>
              <w:top w:val="nil"/>
              <w:left w:val="nil"/>
              <w:bottom w:val="nil"/>
              <w:right w:val="nil"/>
            </w:tcBorders>
            <w:shd w:val="clear" w:color="auto" w:fill="auto"/>
            <w:noWrap/>
            <w:hideMark/>
          </w:tcPr>
          <w:p w14:paraId="48DE500E" w14:textId="23975E7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449,440</w:t>
            </w:r>
          </w:p>
        </w:tc>
        <w:tc>
          <w:tcPr>
            <w:tcW w:w="616" w:type="pct"/>
            <w:tcBorders>
              <w:top w:val="nil"/>
              <w:left w:val="nil"/>
              <w:bottom w:val="nil"/>
              <w:right w:val="nil"/>
            </w:tcBorders>
            <w:shd w:val="clear" w:color="auto" w:fill="auto"/>
            <w:noWrap/>
            <w:hideMark/>
          </w:tcPr>
          <w:p w14:paraId="13B2046D" w14:textId="3B90B21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476,406</w:t>
            </w:r>
          </w:p>
        </w:tc>
        <w:tc>
          <w:tcPr>
            <w:tcW w:w="616" w:type="pct"/>
            <w:tcBorders>
              <w:top w:val="nil"/>
              <w:left w:val="nil"/>
              <w:bottom w:val="nil"/>
              <w:right w:val="nil"/>
            </w:tcBorders>
            <w:shd w:val="clear" w:color="auto" w:fill="auto"/>
            <w:noWrap/>
            <w:hideMark/>
          </w:tcPr>
          <w:p w14:paraId="2F608D2F" w14:textId="45A52FB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c>
          <w:tcPr>
            <w:tcW w:w="616" w:type="pct"/>
            <w:tcBorders>
              <w:top w:val="nil"/>
              <w:left w:val="nil"/>
              <w:bottom w:val="nil"/>
              <w:right w:val="nil"/>
            </w:tcBorders>
            <w:shd w:val="clear" w:color="auto" w:fill="auto"/>
            <w:noWrap/>
            <w:hideMark/>
          </w:tcPr>
          <w:p w14:paraId="261517C5" w14:textId="572252C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1,854,837</w:t>
            </w:r>
          </w:p>
        </w:tc>
      </w:tr>
      <w:tr w:rsidR="003B7009" w:rsidRPr="003B7009" w14:paraId="265760F4" w14:textId="77777777" w:rsidTr="00E57C0E">
        <w:trPr>
          <w:trHeight w:val="20"/>
        </w:trPr>
        <w:tc>
          <w:tcPr>
            <w:tcW w:w="1305" w:type="pct"/>
            <w:tcBorders>
              <w:top w:val="nil"/>
              <w:left w:val="nil"/>
              <w:bottom w:val="nil"/>
              <w:right w:val="nil"/>
            </w:tcBorders>
            <w:shd w:val="clear" w:color="auto" w:fill="auto"/>
            <w:noWrap/>
            <w:hideMark/>
          </w:tcPr>
          <w:p w14:paraId="6486E090"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Fuel and Energy</w:t>
            </w:r>
          </w:p>
        </w:tc>
        <w:tc>
          <w:tcPr>
            <w:tcW w:w="616" w:type="pct"/>
            <w:tcBorders>
              <w:top w:val="nil"/>
              <w:left w:val="nil"/>
              <w:bottom w:val="nil"/>
              <w:right w:val="nil"/>
            </w:tcBorders>
            <w:shd w:val="clear" w:color="auto" w:fill="auto"/>
            <w:noWrap/>
            <w:hideMark/>
          </w:tcPr>
          <w:p w14:paraId="2561F08C" w14:textId="64775B7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55,000</w:t>
            </w:r>
          </w:p>
        </w:tc>
        <w:tc>
          <w:tcPr>
            <w:tcW w:w="616" w:type="pct"/>
            <w:tcBorders>
              <w:top w:val="nil"/>
              <w:left w:val="nil"/>
              <w:bottom w:val="nil"/>
              <w:right w:val="nil"/>
            </w:tcBorders>
            <w:shd w:val="clear" w:color="auto" w:fill="auto"/>
            <w:noWrap/>
            <w:hideMark/>
          </w:tcPr>
          <w:p w14:paraId="3955E47B" w14:textId="50119B7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77,733</w:t>
            </w:r>
          </w:p>
        </w:tc>
        <w:tc>
          <w:tcPr>
            <w:tcW w:w="616" w:type="pct"/>
            <w:tcBorders>
              <w:top w:val="nil"/>
              <w:left w:val="nil"/>
              <w:bottom w:val="nil"/>
              <w:right w:val="nil"/>
            </w:tcBorders>
            <w:shd w:val="clear" w:color="auto" w:fill="auto"/>
            <w:noWrap/>
            <w:hideMark/>
          </w:tcPr>
          <w:p w14:paraId="2F2B1050" w14:textId="648F250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552,437</w:t>
            </w:r>
          </w:p>
        </w:tc>
        <w:tc>
          <w:tcPr>
            <w:tcW w:w="616" w:type="pct"/>
            <w:tcBorders>
              <w:top w:val="nil"/>
              <w:left w:val="nil"/>
              <w:bottom w:val="nil"/>
              <w:right w:val="nil"/>
            </w:tcBorders>
            <w:shd w:val="clear" w:color="auto" w:fill="auto"/>
            <w:noWrap/>
            <w:hideMark/>
          </w:tcPr>
          <w:p w14:paraId="221D876F" w14:textId="3926DA3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585,583</w:t>
            </w:r>
          </w:p>
        </w:tc>
        <w:tc>
          <w:tcPr>
            <w:tcW w:w="616" w:type="pct"/>
            <w:tcBorders>
              <w:top w:val="nil"/>
              <w:left w:val="nil"/>
              <w:bottom w:val="nil"/>
              <w:right w:val="nil"/>
            </w:tcBorders>
            <w:shd w:val="clear" w:color="auto" w:fill="auto"/>
            <w:noWrap/>
            <w:hideMark/>
          </w:tcPr>
          <w:p w14:paraId="61E173E8" w14:textId="720ED28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620,718</w:t>
            </w:r>
          </w:p>
        </w:tc>
        <w:tc>
          <w:tcPr>
            <w:tcW w:w="616" w:type="pct"/>
            <w:tcBorders>
              <w:top w:val="nil"/>
              <w:left w:val="nil"/>
              <w:bottom w:val="nil"/>
              <w:right w:val="nil"/>
            </w:tcBorders>
            <w:shd w:val="clear" w:color="auto" w:fill="auto"/>
            <w:noWrap/>
            <w:hideMark/>
          </w:tcPr>
          <w:p w14:paraId="2128692B" w14:textId="0E6DEFC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1,891,471</w:t>
            </w:r>
          </w:p>
        </w:tc>
      </w:tr>
      <w:tr w:rsidR="003B7009" w:rsidRPr="003B7009" w14:paraId="3CF14978" w14:textId="77777777" w:rsidTr="00E57C0E">
        <w:trPr>
          <w:trHeight w:val="20"/>
        </w:trPr>
        <w:tc>
          <w:tcPr>
            <w:tcW w:w="1305" w:type="pct"/>
            <w:tcBorders>
              <w:top w:val="nil"/>
              <w:left w:val="nil"/>
              <w:bottom w:val="nil"/>
              <w:right w:val="nil"/>
            </w:tcBorders>
            <w:shd w:val="clear" w:color="auto" w:fill="auto"/>
            <w:noWrap/>
            <w:hideMark/>
          </w:tcPr>
          <w:p w14:paraId="012F2B50"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Mining, Manufacturing &amp; Construction</w:t>
            </w:r>
          </w:p>
        </w:tc>
        <w:tc>
          <w:tcPr>
            <w:tcW w:w="616" w:type="pct"/>
            <w:tcBorders>
              <w:top w:val="nil"/>
              <w:left w:val="nil"/>
              <w:bottom w:val="nil"/>
              <w:right w:val="nil"/>
            </w:tcBorders>
            <w:shd w:val="clear" w:color="auto" w:fill="auto"/>
            <w:noWrap/>
            <w:hideMark/>
          </w:tcPr>
          <w:p w14:paraId="099D5829" w14:textId="305E3DF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44BC3EE" w14:textId="2597A6E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9A87F28" w14:textId="3045E2E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449,440</w:t>
            </w:r>
          </w:p>
        </w:tc>
        <w:tc>
          <w:tcPr>
            <w:tcW w:w="616" w:type="pct"/>
            <w:tcBorders>
              <w:top w:val="nil"/>
              <w:left w:val="nil"/>
              <w:bottom w:val="nil"/>
              <w:right w:val="nil"/>
            </w:tcBorders>
            <w:shd w:val="clear" w:color="auto" w:fill="auto"/>
            <w:noWrap/>
            <w:hideMark/>
          </w:tcPr>
          <w:p w14:paraId="7022DCCC" w14:textId="6FC937E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952,813</w:t>
            </w:r>
          </w:p>
        </w:tc>
        <w:tc>
          <w:tcPr>
            <w:tcW w:w="616" w:type="pct"/>
            <w:tcBorders>
              <w:top w:val="nil"/>
              <w:left w:val="nil"/>
              <w:bottom w:val="nil"/>
              <w:right w:val="nil"/>
            </w:tcBorders>
            <w:shd w:val="clear" w:color="auto" w:fill="auto"/>
            <w:noWrap/>
            <w:hideMark/>
          </w:tcPr>
          <w:p w14:paraId="047D71F4" w14:textId="37AB5B1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1,009,982</w:t>
            </w:r>
          </w:p>
        </w:tc>
        <w:tc>
          <w:tcPr>
            <w:tcW w:w="616" w:type="pct"/>
            <w:tcBorders>
              <w:top w:val="nil"/>
              <w:left w:val="nil"/>
              <w:bottom w:val="nil"/>
              <w:right w:val="nil"/>
            </w:tcBorders>
            <w:shd w:val="clear" w:color="auto" w:fill="auto"/>
            <w:noWrap/>
            <w:hideMark/>
          </w:tcPr>
          <w:p w14:paraId="5B894A39" w14:textId="1B200DA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2,412,234</w:t>
            </w:r>
          </w:p>
        </w:tc>
      </w:tr>
      <w:tr w:rsidR="003B7009" w:rsidRPr="003B7009" w14:paraId="0CC4FBD4" w14:textId="77777777" w:rsidTr="00E57C0E">
        <w:trPr>
          <w:trHeight w:val="20"/>
        </w:trPr>
        <w:tc>
          <w:tcPr>
            <w:tcW w:w="1305" w:type="pct"/>
            <w:tcBorders>
              <w:top w:val="nil"/>
              <w:left w:val="nil"/>
              <w:bottom w:val="nil"/>
              <w:right w:val="nil"/>
            </w:tcBorders>
            <w:shd w:val="clear" w:color="auto" w:fill="auto"/>
            <w:noWrap/>
            <w:hideMark/>
          </w:tcPr>
          <w:p w14:paraId="0F9C557E"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Transport</w:t>
            </w:r>
          </w:p>
        </w:tc>
        <w:tc>
          <w:tcPr>
            <w:tcW w:w="616" w:type="pct"/>
            <w:tcBorders>
              <w:top w:val="nil"/>
              <w:left w:val="nil"/>
              <w:bottom w:val="nil"/>
              <w:right w:val="nil"/>
            </w:tcBorders>
            <w:shd w:val="clear" w:color="auto" w:fill="auto"/>
            <w:noWrap/>
            <w:hideMark/>
          </w:tcPr>
          <w:p w14:paraId="7B886E87" w14:textId="2DC0357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C05343E" w14:textId="02746B0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EB20A76" w14:textId="3373A87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F4825D5" w14:textId="10BF7E6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DE05BD6" w14:textId="1F2B33C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32FD32B" w14:textId="782B5B3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34422B95" w14:textId="77777777" w:rsidTr="00E57C0E">
        <w:trPr>
          <w:trHeight w:val="20"/>
        </w:trPr>
        <w:tc>
          <w:tcPr>
            <w:tcW w:w="1305" w:type="pct"/>
            <w:tcBorders>
              <w:top w:val="nil"/>
              <w:left w:val="nil"/>
              <w:bottom w:val="nil"/>
              <w:right w:val="nil"/>
            </w:tcBorders>
            <w:shd w:val="clear" w:color="auto" w:fill="auto"/>
            <w:noWrap/>
            <w:hideMark/>
          </w:tcPr>
          <w:p w14:paraId="7BFDBA5F"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Communication</w:t>
            </w:r>
          </w:p>
        </w:tc>
        <w:tc>
          <w:tcPr>
            <w:tcW w:w="616" w:type="pct"/>
            <w:tcBorders>
              <w:top w:val="nil"/>
              <w:left w:val="nil"/>
              <w:bottom w:val="nil"/>
              <w:right w:val="nil"/>
            </w:tcBorders>
            <w:shd w:val="clear" w:color="auto" w:fill="auto"/>
            <w:noWrap/>
            <w:hideMark/>
          </w:tcPr>
          <w:p w14:paraId="4FE3BDDB" w14:textId="06B52D6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EF75166" w14:textId="7B1DCB5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0FAA3E7" w14:textId="5CD5812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A6E937C" w14:textId="7C2F2A9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F1CC93A" w14:textId="6914C3F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E606CFE" w14:textId="47DCD0E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515FBBE7" w14:textId="77777777" w:rsidTr="00E57C0E">
        <w:trPr>
          <w:trHeight w:val="20"/>
        </w:trPr>
        <w:tc>
          <w:tcPr>
            <w:tcW w:w="1305" w:type="pct"/>
            <w:tcBorders>
              <w:top w:val="nil"/>
              <w:left w:val="nil"/>
              <w:bottom w:val="nil"/>
              <w:right w:val="nil"/>
            </w:tcBorders>
            <w:shd w:val="clear" w:color="auto" w:fill="auto"/>
            <w:noWrap/>
            <w:hideMark/>
          </w:tcPr>
          <w:p w14:paraId="698ECEC4"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Other industries</w:t>
            </w:r>
          </w:p>
        </w:tc>
        <w:tc>
          <w:tcPr>
            <w:tcW w:w="616" w:type="pct"/>
            <w:tcBorders>
              <w:top w:val="nil"/>
              <w:left w:val="nil"/>
              <w:bottom w:val="nil"/>
              <w:right w:val="nil"/>
            </w:tcBorders>
            <w:shd w:val="clear" w:color="auto" w:fill="auto"/>
            <w:noWrap/>
            <w:hideMark/>
          </w:tcPr>
          <w:p w14:paraId="269F14AA" w14:textId="52DCEBA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FE880F8" w14:textId="2CB8081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5A8814F" w14:textId="1FDB514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C759E06" w14:textId="3CC55EA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73C1C5B" w14:textId="3696966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818902C" w14:textId="42FBF1E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3FC711DB" w14:textId="77777777" w:rsidTr="00E57C0E">
        <w:trPr>
          <w:trHeight w:val="20"/>
        </w:trPr>
        <w:tc>
          <w:tcPr>
            <w:tcW w:w="1305" w:type="pct"/>
            <w:tcBorders>
              <w:top w:val="nil"/>
              <w:left w:val="nil"/>
              <w:bottom w:val="nil"/>
              <w:right w:val="nil"/>
            </w:tcBorders>
            <w:shd w:val="clear" w:color="auto" w:fill="auto"/>
            <w:noWrap/>
            <w:hideMark/>
          </w:tcPr>
          <w:p w14:paraId="60B8778A"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R&amp;D Economic Affairs</w:t>
            </w:r>
          </w:p>
        </w:tc>
        <w:tc>
          <w:tcPr>
            <w:tcW w:w="616" w:type="pct"/>
            <w:tcBorders>
              <w:top w:val="nil"/>
              <w:left w:val="nil"/>
              <w:bottom w:val="nil"/>
              <w:right w:val="nil"/>
            </w:tcBorders>
            <w:shd w:val="clear" w:color="auto" w:fill="auto"/>
            <w:noWrap/>
            <w:hideMark/>
          </w:tcPr>
          <w:p w14:paraId="1FCED52F" w14:textId="5DDF00B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CD51CB4" w14:textId="56F909A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6BAFACE" w14:textId="0A7E324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E34B3BB" w14:textId="73CD0B3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6E019B9" w14:textId="6206EFF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E47B3BD" w14:textId="5DAB5F1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50F7F411" w14:textId="77777777" w:rsidTr="00E57C0E">
        <w:trPr>
          <w:trHeight w:val="20"/>
        </w:trPr>
        <w:tc>
          <w:tcPr>
            <w:tcW w:w="1305" w:type="pct"/>
            <w:tcBorders>
              <w:top w:val="nil"/>
              <w:left w:val="nil"/>
              <w:bottom w:val="nil"/>
              <w:right w:val="nil"/>
            </w:tcBorders>
            <w:shd w:val="clear" w:color="auto" w:fill="auto"/>
            <w:noWrap/>
            <w:hideMark/>
          </w:tcPr>
          <w:p w14:paraId="5304E13D"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EA - Economic Affairs n.e.c.</w:t>
            </w:r>
          </w:p>
        </w:tc>
        <w:tc>
          <w:tcPr>
            <w:tcW w:w="616" w:type="pct"/>
            <w:tcBorders>
              <w:top w:val="nil"/>
              <w:left w:val="nil"/>
              <w:bottom w:val="nil"/>
              <w:right w:val="nil"/>
            </w:tcBorders>
            <w:shd w:val="clear" w:color="auto" w:fill="auto"/>
            <w:noWrap/>
            <w:hideMark/>
          </w:tcPr>
          <w:p w14:paraId="7D41C376" w14:textId="065CD7F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EF4920E" w14:textId="59A5585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7941D97" w14:textId="50F987B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8402962" w14:textId="2236395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080744A" w14:textId="24FB10E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AF9ECA3" w14:textId="44B930B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55E2F8AA" w14:textId="77777777" w:rsidTr="00E57C0E">
        <w:trPr>
          <w:trHeight w:val="20"/>
        </w:trPr>
        <w:tc>
          <w:tcPr>
            <w:tcW w:w="1305" w:type="pct"/>
            <w:tcBorders>
              <w:top w:val="single" w:sz="4" w:space="0" w:color="auto"/>
              <w:left w:val="nil"/>
              <w:bottom w:val="nil"/>
              <w:right w:val="nil"/>
            </w:tcBorders>
            <w:shd w:val="clear" w:color="auto" w:fill="E3F1E1" w:themeFill="accent4" w:themeFillTint="33"/>
            <w:hideMark/>
          </w:tcPr>
          <w:p w14:paraId="535B1B9F"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Environmental Protection</w:t>
            </w:r>
          </w:p>
        </w:tc>
        <w:tc>
          <w:tcPr>
            <w:tcW w:w="616" w:type="pct"/>
            <w:tcBorders>
              <w:top w:val="single" w:sz="4" w:space="0" w:color="auto"/>
              <w:left w:val="nil"/>
              <w:bottom w:val="nil"/>
              <w:right w:val="nil"/>
            </w:tcBorders>
            <w:shd w:val="clear" w:color="auto" w:fill="E3F1E1" w:themeFill="accent4" w:themeFillTint="33"/>
            <w:hideMark/>
          </w:tcPr>
          <w:p w14:paraId="693F8EBB" w14:textId="18EC3B09"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46539252" w14:textId="1CBB8FFE"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0F212D55" w14:textId="580E3102"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06D4CBAE" w14:textId="7FA137D7"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2C9695B9" w14:textId="3D3FE8CF"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504,991</w:t>
            </w:r>
          </w:p>
        </w:tc>
        <w:tc>
          <w:tcPr>
            <w:tcW w:w="616" w:type="pct"/>
            <w:tcBorders>
              <w:top w:val="single" w:sz="4" w:space="0" w:color="auto"/>
              <w:left w:val="nil"/>
              <w:bottom w:val="nil"/>
              <w:right w:val="nil"/>
            </w:tcBorders>
            <w:shd w:val="clear" w:color="auto" w:fill="E3F1E1" w:themeFill="accent4" w:themeFillTint="33"/>
            <w:hideMark/>
          </w:tcPr>
          <w:p w14:paraId="27FAA6EF" w14:textId="282EC153"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504,991</w:t>
            </w:r>
          </w:p>
        </w:tc>
      </w:tr>
      <w:tr w:rsidR="003B7009" w:rsidRPr="003B7009" w14:paraId="335F4423" w14:textId="77777777" w:rsidTr="00E57C0E">
        <w:trPr>
          <w:trHeight w:val="20"/>
        </w:trPr>
        <w:tc>
          <w:tcPr>
            <w:tcW w:w="1305" w:type="pct"/>
            <w:tcBorders>
              <w:top w:val="nil"/>
              <w:left w:val="nil"/>
              <w:bottom w:val="nil"/>
              <w:right w:val="nil"/>
            </w:tcBorders>
            <w:shd w:val="clear" w:color="auto" w:fill="auto"/>
            <w:noWrap/>
            <w:hideMark/>
          </w:tcPr>
          <w:p w14:paraId="7F6A636D"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EP - Waste Management</w:t>
            </w:r>
          </w:p>
        </w:tc>
        <w:tc>
          <w:tcPr>
            <w:tcW w:w="616" w:type="pct"/>
            <w:tcBorders>
              <w:top w:val="nil"/>
              <w:left w:val="nil"/>
              <w:bottom w:val="nil"/>
              <w:right w:val="nil"/>
            </w:tcBorders>
            <w:shd w:val="clear" w:color="auto" w:fill="auto"/>
            <w:noWrap/>
            <w:hideMark/>
          </w:tcPr>
          <w:p w14:paraId="2F754C5A" w14:textId="1E63E31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1FEE6FF" w14:textId="6F7DB95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AF0975B" w14:textId="6638A15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AEB6C48" w14:textId="688B1E8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4A5C120" w14:textId="258D493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5EEC098" w14:textId="69661A4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0A0FF90D" w14:textId="77777777" w:rsidTr="00E57C0E">
        <w:trPr>
          <w:trHeight w:val="20"/>
        </w:trPr>
        <w:tc>
          <w:tcPr>
            <w:tcW w:w="1305" w:type="pct"/>
            <w:tcBorders>
              <w:top w:val="nil"/>
              <w:left w:val="nil"/>
              <w:bottom w:val="nil"/>
              <w:right w:val="nil"/>
            </w:tcBorders>
            <w:shd w:val="clear" w:color="auto" w:fill="auto"/>
            <w:noWrap/>
            <w:hideMark/>
          </w:tcPr>
          <w:p w14:paraId="68C5C00A"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EP -Waste Water Management</w:t>
            </w:r>
          </w:p>
        </w:tc>
        <w:tc>
          <w:tcPr>
            <w:tcW w:w="616" w:type="pct"/>
            <w:tcBorders>
              <w:top w:val="nil"/>
              <w:left w:val="nil"/>
              <w:bottom w:val="nil"/>
              <w:right w:val="nil"/>
            </w:tcBorders>
            <w:shd w:val="clear" w:color="auto" w:fill="auto"/>
            <w:noWrap/>
            <w:hideMark/>
          </w:tcPr>
          <w:p w14:paraId="05652ADC" w14:textId="6B59A0B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529EAA1" w14:textId="0A1D131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41AD884" w14:textId="555FC0C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4F0F202" w14:textId="24047AC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A80F716" w14:textId="0CFF9CA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0940852" w14:textId="7BB1E3F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24019817" w14:textId="77777777" w:rsidTr="00E57C0E">
        <w:trPr>
          <w:trHeight w:val="20"/>
        </w:trPr>
        <w:tc>
          <w:tcPr>
            <w:tcW w:w="1305" w:type="pct"/>
            <w:tcBorders>
              <w:top w:val="nil"/>
              <w:left w:val="nil"/>
              <w:bottom w:val="nil"/>
              <w:right w:val="nil"/>
            </w:tcBorders>
            <w:shd w:val="clear" w:color="auto" w:fill="auto"/>
            <w:noWrap/>
            <w:hideMark/>
          </w:tcPr>
          <w:p w14:paraId="21D2113C"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lastRenderedPageBreak/>
              <w:t>EP -Pollution Abatement</w:t>
            </w:r>
          </w:p>
        </w:tc>
        <w:tc>
          <w:tcPr>
            <w:tcW w:w="616" w:type="pct"/>
            <w:tcBorders>
              <w:top w:val="nil"/>
              <w:left w:val="nil"/>
              <w:bottom w:val="nil"/>
              <w:right w:val="nil"/>
            </w:tcBorders>
            <w:shd w:val="clear" w:color="auto" w:fill="auto"/>
            <w:noWrap/>
            <w:hideMark/>
          </w:tcPr>
          <w:p w14:paraId="12EBF667" w14:textId="3FAA03E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1588B76" w14:textId="5F7EF0A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CEAF0A1" w14:textId="322D048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C1E2443" w14:textId="185B1D2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B61E020" w14:textId="0486C37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4E017E6" w14:textId="7550A8D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D1FAA8B" w14:textId="77777777" w:rsidTr="00E57C0E">
        <w:trPr>
          <w:trHeight w:val="20"/>
        </w:trPr>
        <w:tc>
          <w:tcPr>
            <w:tcW w:w="1305" w:type="pct"/>
            <w:tcBorders>
              <w:top w:val="nil"/>
              <w:left w:val="nil"/>
              <w:bottom w:val="nil"/>
              <w:right w:val="nil"/>
            </w:tcBorders>
            <w:shd w:val="clear" w:color="auto" w:fill="auto"/>
            <w:noWrap/>
            <w:hideMark/>
          </w:tcPr>
          <w:p w14:paraId="6C347368"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EP -Protection of Bio-diversity and Landscape</w:t>
            </w:r>
          </w:p>
        </w:tc>
        <w:tc>
          <w:tcPr>
            <w:tcW w:w="616" w:type="pct"/>
            <w:tcBorders>
              <w:top w:val="nil"/>
              <w:left w:val="nil"/>
              <w:bottom w:val="nil"/>
              <w:right w:val="nil"/>
            </w:tcBorders>
            <w:shd w:val="clear" w:color="auto" w:fill="auto"/>
            <w:noWrap/>
            <w:hideMark/>
          </w:tcPr>
          <w:p w14:paraId="333C60CE" w14:textId="729E314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E5A9AC6" w14:textId="33D8434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4F072E5" w14:textId="35C8B57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774BAA4" w14:textId="0F608C6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42924A8" w14:textId="7205978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9701D45" w14:textId="5154AF4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4E9F2D94" w14:textId="77777777" w:rsidTr="00E57C0E">
        <w:trPr>
          <w:trHeight w:val="20"/>
        </w:trPr>
        <w:tc>
          <w:tcPr>
            <w:tcW w:w="1305" w:type="pct"/>
            <w:tcBorders>
              <w:top w:val="nil"/>
              <w:left w:val="nil"/>
              <w:bottom w:val="nil"/>
              <w:right w:val="nil"/>
            </w:tcBorders>
            <w:shd w:val="clear" w:color="auto" w:fill="auto"/>
            <w:noWrap/>
            <w:hideMark/>
          </w:tcPr>
          <w:p w14:paraId="72DE8576"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EP -R&amp;D Environmental Protection</w:t>
            </w:r>
          </w:p>
        </w:tc>
        <w:tc>
          <w:tcPr>
            <w:tcW w:w="616" w:type="pct"/>
            <w:tcBorders>
              <w:top w:val="nil"/>
              <w:left w:val="nil"/>
              <w:bottom w:val="nil"/>
              <w:right w:val="nil"/>
            </w:tcBorders>
            <w:shd w:val="clear" w:color="auto" w:fill="auto"/>
            <w:noWrap/>
            <w:hideMark/>
          </w:tcPr>
          <w:p w14:paraId="5DB30085" w14:textId="69A80BC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727C383" w14:textId="040BD67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B84403A" w14:textId="40FB8F4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BA0970E" w14:textId="0C4723D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ACFF7D0" w14:textId="54F4DB8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762A6A0" w14:textId="30B7779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238682CC" w14:textId="77777777" w:rsidTr="00E57C0E">
        <w:trPr>
          <w:trHeight w:val="20"/>
        </w:trPr>
        <w:tc>
          <w:tcPr>
            <w:tcW w:w="1305" w:type="pct"/>
            <w:tcBorders>
              <w:top w:val="nil"/>
              <w:left w:val="nil"/>
              <w:bottom w:val="nil"/>
              <w:right w:val="nil"/>
            </w:tcBorders>
            <w:shd w:val="clear" w:color="auto" w:fill="auto"/>
            <w:noWrap/>
            <w:hideMark/>
          </w:tcPr>
          <w:p w14:paraId="4BA45E5B"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EP -Environmental  Protection n.e.c.</w:t>
            </w:r>
          </w:p>
        </w:tc>
        <w:tc>
          <w:tcPr>
            <w:tcW w:w="616" w:type="pct"/>
            <w:tcBorders>
              <w:top w:val="nil"/>
              <w:left w:val="nil"/>
              <w:bottom w:val="nil"/>
              <w:right w:val="nil"/>
            </w:tcBorders>
            <w:shd w:val="clear" w:color="auto" w:fill="auto"/>
            <w:noWrap/>
            <w:hideMark/>
          </w:tcPr>
          <w:p w14:paraId="7BC4AFDB" w14:textId="69E4FEC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39B6CDA" w14:textId="2274841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CABD09F" w14:textId="00389DE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66F2D0B" w14:textId="7963980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21FCB34" w14:textId="390A06C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c>
          <w:tcPr>
            <w:tcW w:w="616" w:type="pct"/>
            <w:tcBorders>
              <w:top w:val="nil"/>
              <w:left w:val="nil"/>
              <w:bottom w:val="nil"/>
              <w:right w:val="nil"/>
            </w:tcBorders>
            <w:shd w:val="clear" w:color="auto" w:fill="auto"/>
            <w:noWrap/>
            <w:hideMark/>
          </w:tcPr>
          <w:p w14:paraId="68C332F3" w14:textId="5D3619C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r>
      <w:tr w:rsidR="003B7009" w:rsidRPr="003B7009" w14:paraId="17C4A22A" w14:textId="77777777" w:rsidTr="00E57C0E">
        <w:trPr>
          <w:trHeight w:val="20"/>
        </w:trPr>
        <w:tc>
          <w:tcPr>
            <w:tcW w:w="1305" w:type="pct"/>
            <w:tcBorders>
              <w:top w:val="single" w:sz="4" w:space="0" w:color="auto"/>
              <w:left w:val="nil"/>
              <w:bottom w:val="nil"/>
              <w:right w:val="nil"/>
            </w:tcBorders>
            <w:shd w:val="clear" w:color="auto" w:fill="E3F1E1" w:themeFill="accent4" w:themeFillTint="33"/>
            <w:hideMark/>
          </w:tcPr>
          <w:p w14:paraId="7A54A2E0"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Housing and Community Development</w:t>
            </w:r>
          </w:p>
        </w:tc>
        <w:tc>
          <w:tcPr>
            <w:tcW w:w="616" w:type="pct"/>
            <w:tcBorders>
              <w:top w:val="single" w:sz="4" w:space="0" w:color="auto"/>
              <w:left w:val="nil"/>
              <w:bottom w:val="nil"/>
              <w:right w:val="nil"/>
            </w:tcBorders>
            <w:shd w:val="clear" w:color="auto" w:fill="E3F1E1" w:themeFill="accent4" w:themeFillTint="33"/>
            <w:hideMark/>
          </w:tcPr>
          <w:p w14:paraId="1BF95241" w14:textId="6EBF2864"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46D54A39" w14:textId="0EB20DBF"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424,000</w:t>
            </w:r>
          </w:p>
        </w:tc>
        <w:tc>
          <w:tcPr>
            <w:tcW w:w="616" w:type="pct"/>
            <w:tcBorders>
              <w:top w:val="single" w:sz="4" w:space="0" w:color="auto"/>
              <w:left w:val="nil"/>
              <w:bottom w:val="nil"/>
              <w:right w:val="nil"/>
            </w:tcBorders>
            <w:shd w:val="clear" w:color="auto" w:fill="E3F1E1" w:themeFill="accent4" w:themeFillTint="33"/>
            <w:hideMark/>
          </w:tcPr>
          <w:p w14:paraId="7F8D58E6" w14:textId="35D30463"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449,440</w:t>
            </w:r>
          </w:p>
        </w:tc>
        <w:tc>
          <w:tcPr>
            <w:tcW w:w="616" w:type="pct"/>
            <w:tcBorders>
              <w:top w:val="single" w:sz="4" w:space="0" w:color="auto"/>
              <w:left w:val="nil"/>
              <w:bottom w:val="nil"/>
              <w:right w:val="nil"/>
            </w:tcBorders>
            <w:shd w:val="clear" w:color="auto" w:fill="E3F1E1" w:themeFill="accent4" w:themeFillTint="33"/>
            <w:hideMark/>
          </w:tcPr>
          <w:p w14:paraId="6C987AD8" w14:textId="5416D59F"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952,813</w:t>
            </w:r>
          </w:p>
        </w:tc>
        <w:tc>
          <w:tcPr>
            <w:tcW w:w="616" w:type="pct"/>
            <w:tcBorders>
              <w:top w:val="single" w:sz="4" w:space="0" w:color="auto"/>
              <w:left w:val="nil"/>
              <w:bottom w:val="nil"/>
              <w:right w:val="nil"/>
            </w:tcBorders>
            <w:shd w:val="clear" w:color="auto" w:fill="E3F1E1" w:themeFill="accent4" w:themeFillTint="33"/>
            <w:hideMark/>
          </w:tcPr>
          <w:p w14:paraId="30ADA416" w14:textId="11A0E26D"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1,009,982</w:t>
            </w:r>
          </w:p>
        </w:tc>
        <w:tc>
          <w:tcPr>
            <w:tcW w:w="616" w:type="pct"/>
            <w:tcBorders>
              <w:top w:val="single" w:sz="4" w:space="0" w:color="auto"/>
              <w:left w:val="nil"/>
              <w:bottom w:val="nil"/>
              <w:right w:val="nil"/>
            </w:tcBorders>
            <w:shd w:val="clear" w:color="auto" w:fill="E3F1E1" w:themeFill="accent4" w:themeFillTint="33"/>
            <w:hideMark/>
          </w:tcPr>
          <w:p w14:paraId="107C9DF6" w14:textId="12731036"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2,836,234</w:t>
            </w:r>
          </w:p>
        </w:tc>
      </w:tr>
      <w:tr w:rsidR="003B7009" w:rsidRPr="003B7009" w14:paraId="7D7E4031" w14:textId="77777777" w:rsidTr="00E57C0E">
        <w:trPr>
          <w:trHeight w:val="20"/>
        </w:trPr>
        <w:tc>
          <w:tcPr>
            <w:tcW w:w="1305" w:type="pct"/>
            <w:tcBorders>
              <w:top w:val="nil"/>
              <w:left w:val="nil"/>
              <w:bottom w:val="nil"/>
              <w:right w:val="nil"/>
            </w:tcBorders>
            <w:shd w:val="clear" w:color="auto" w:fill="auto"/>
            <w:noWrap/>
            <w:hideMark/>
          </w:tcPr>
          <w:p w14:paraId="6D8DD6C8"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HCD - Housing Development</w:t>
            </w:r>
          </w:p>
        </w:tc>
        <w:tc>
          <w:tcPr>
            <w:tcW w:w="616" w:type="pct"/>
            <w:tcBorders>
              <w:top w:val="nil"/>
              <w:left w:val="nil"/>
              <w:bottom w:val="nil"/>
              <w:right w:val="nil"/>
            </w:tcBorders>
            <w:shd w:val="clear" w:color="auto" w:fill="auto"/>
            <w:noWrap/>
            <w:hideMark/>
          </w:tcPr>
          <w:p w14:paraId="7575B954" w14:textId="2067AD8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053C354" w14:textId="6CF902F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8793213" w14:textId="7810454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C82E476" w14:textId="4CCE5B2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476,406</w:t>
            </w:r>
          </w:p>
        </w:tc>
        <w:tc>
          <w:tcPr>
            <w:tcW w:w="616" w:type="pct"/>
            <w:tcBorders>
              <w:top w:val="nil"/>
              <w:left w:val="nil"/>
              <w:bottom w:val="nil"/>
              <w:right w:val="nil"/>
            </w:tcBorders>
            <w:shd w:val="clear" w:color="auto" w:fill="auto"/>
            <w:noWrap/>
            <w:hideMark/>
          </w:tcPr>
          <w:p w14:paraId="14834961" w14:textId="4ADA57A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c>
          <w:tcPr>
            <w:tcW w:w="616" w:type="pct"/>
            <w:tcBorders>
              <w:top w:val="nil"/>
              <w:left w:val="nil"/>
              <w:bottom w:val="nil"/>
              <w:right w:val="nil"/>
            </w:tcBorders>
            <w:shd w:val="clear" w:color="auto" w:fill="auto"/>
            <w:noWrap/>
            <w:hideMark/>
          </w:tcPr>
          <w:p w14:paraId="0BA2BECC" w14:textId="337D386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981,397</w:t>
            </w:r>
          </w:p>
        </w:tc>
      </w:tr>
      <w:tr w:rsidR="003B7009" w:rsidRPr="003B7009" w14:paraId="296D0714" w14:textId="77777777" w:rsidTr="00E57C0E">
        <w:trPr>
          <w:trHeight w:val="20"/>
        </w:trPr>
        <w:tc>
          <w:tcPr>
            <w:tcW w:w="1305" w:type="pct"/>
            <w:tcBorders>
              <w:top w:val="nil"/>
              <w:left w:val="nil"/>
              <w:bottom w:val="nil"/>
              <w:right w:val="nil"/>
            </w:tcBorders>
            <w:shd w:val="clear" w:color="auto" w:fill="auto"/>
            <w:noWrap/>
            <w:hideMark/>
          </w:tcPr>
          <w:p w14:paraId="6F719ED2"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HCD - Community Development</w:t>
            </w:r>
          </w:p>
        </w:tc>
        <w:tc>
          <w:tcPr>
            <w:tcW w:w="616" w:type="pct"/>
            <w:tcBorders>
              <w:top w:val="nil"/>
              <w:left w:val="nil"/>
              <w:bottom w:val="nil"/>
              <w:right w:val="nil"/>
            </w:tcBorders>
            <w:shd w:val="clear" w:color="auto" w:fill="auto"/>
            <w:noWrap/>
            <w:hideMark/>
          </w:tcPr>
          <w:p w14:paraId="74E6C46A" w14:textId="5D0F887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40A0686" w14:textId="23FEB40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424,000</w:t>
            </w:r>
          </w:p>
        </w:tc>
        <w:tc>
          <w:tcPr>
            <w:tcW w:w="616" w:type="pct"/>
            <w:tcBorders>
              <w:top w:val="nil"/>
              <w:left w:val="nil"/>
              <w:bottom w:val="nil"/>
              <w:right w:val="nil"/>
            </w:tcBorders>
            <w:shd w:val="clear" w:color="auto" w:fill="auto"/>
            <w:noWrap/>
            <w:hideMark/>
          </w:tcPr>
          <w:p w14:paraId="1FA931CD" w14:textId="6BE9D64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449,440</w:t>
            </w:r>
          </w:p>
        </w:tc>
        <w:tc>
          <w:tcPr>
            <w:tcW w:w="616" w:type="pct"/>
            <w:tcBorders>
              <w:top w:val="nil"/>
              <w:left w:val="nil"/>
              <w:bottom w:val="nil"/>
              <w:right w:val="nil"/>
            </w:tcBorders>
            <w:shd w:val="clear" w:color="auto" w:fill="auto"/>
            <w:noWrap/>
            <w:hideMark/>
          </w:tcPr>
          <w:p w14:paraId="38E84743" w14:textId="4CCB9DF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476,406</w:t>
            </w:r>
          </w:p>
        </w:tc>
        <w:tc>
          <w:tcPr>
            <w:tcW w:w="616" w:type="pct"/>
            <w:tcBorders>
              <w:top w:val="nil"/>
              <w:left w:val="nil"/>
              <w:bottom w:val="nil"/>
              <w:right w:val="nil"/>
            </w:tcBorders>
            <w:shd w:val="clear" w:color="auto" w:fill="auto"/>
            <w:noWrap/>
            <w:hideMark/>
          </w:tcPr>
          <w:p w14:paraId="42029B40" w14:textId="08C8340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c>
          <w:tcPr>
            <w:tcW w:w="616" w:type="pct"/>
            <w:tcBorders>
              <w:top w:val="nil"/>
              <w:left w:val="nil"/>
              <w:bottom w:val="nil"/>
              <w:right w:val="nil"/>
            </w:tcBorders>
            <w:shd w:val="clear" w:color="auto" w:fill="auto"/>
            <w:noWrap/>
            <w:hideMark/>
          </w:tcPr>
          <w:p w14:paraId="790AABC8" w14:textId="142FB70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1,854,837</w:t>
            </w:r>
          </w:p>
        </w:tc>
      </w:tr>
      <w:tr w:rsidR="003B7009" w:rsidRPr="003B7009" w14:paraId="658F2E3E" w14:textId="77777777" w:rsidTr="00E57C0E">
        <w:trPr>
          <w:trHeight w:val="20"/>
        </w:trPr>
        <w:tc>
          <w:tcPr>
            <w:tcW w:w="1305" w:type="pct"/>
            <w:tcBorders>
              <w:top w:val="nil"/>
              <w:left w:val="nil"/>
              <w:bottom w:val="nil"/>
              <w:right w:val="nil"/>
            </w:tcBorders>
            <w:shd w:val="clear" w:color="auto" w:fill="auto"/>
            <w:noWrap/>
            <w:hideMark/>
          </w:tcPr>
          <w:p w14:paraId="56B541A3"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HCD - Water Supply</w:t>
            </w:r>
          </w:p>
        </w:tc>
        <w:tc>
          <w:tcPr>
            <w:tcW w:w="616" w:type="pct"/>
            <w:tcBorders>
              <w:top w:val="nil"/>
              <w:left w:val="nil"/>
              <w:bottom w:val="nil"/>
              <w:right w:val="nil"/>
            </w:tcBorders>
            <w:shd w:val="clear" w:color="auto" w:fill="auto"/>
            <w:noWrap/>
            <w:hideMark/>
          </w:tcPr>
          <w:p w14:paraId="02A3ECF9" w14:textId="51605EA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5C6CF5E" w14:textId="20FD54D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70E2ADC" w14:textId="457D914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58EFF02" w14:textId="1359B87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9D9B556" w14:textId="0EB5C36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00E7445" w14:textId="70CA5F2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3667984C" w14:textId="77777777" w:rsidTr="00E57C0E">
        <w:trPr>
          <w:trHeight w:val="20"/>
        </w:trPr>
        <w:tc>
          <w:tcPr>
            <w:tcW w:w="1305" w:type="pct"/>
            <w:tcBorders>
              <w:top w:val="nil"/>
              <w:left w:val="nil"/>
              <w:bottom w:val="nil"/>
              <w:right w:val="nil"/>
            </w:tcBorders>
            <w:shd w:val="clear" w:color="auto" w:fill="auto"/>
            <w:noWrap/>
            <w:hideMark/>
          </w:tcPr>
          <w:p w14:paraId="40EDDCAF"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 xml:space="preserve">HCD - Street Lighting </w:t>
            </w:r>
          </w:p>
        </w:tc>
        <w:tc>
          <w:tcPr>
            <w:tcW w:w="616" w:type="pct"/>
            <w:tcBorders>
              <w:top w:val="nil"/>
              <w:left w:val="nil"/>
              <w:bottom w:val="nil"/>
              <w:right w:val="nil"/>
            </w:tcBorders>
            <w:shd w:val="clear" w:color="auto" w:fill="auto"/>
            <w:noWrap/>
            <w:hideMark/>
          </w:tcPr>
          <w:p w14:paraId="00380F74" w14:textId="029F1C5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1B57B82" w14:textId="78CBE60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A4FDDB5" w14:textId="496FB85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4F92270" w14:textId="60C4CAA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4AAF764" w14:textId="7E87C2F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DE1B19C" w14:textId="09D81E0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3BE7327D" w14:textId="77777777" w:rsidTr="00E57C0E">
        <w:trPr>
          <w:trHeight w:val="20"/>
        </w:trPr>
        <w:tc>
          <w:tcPr>
            <w:tcW w:w="1305" w:type="pct"/>
            <w:tcBorders>
              <w:top w:val="nil"/>
              <w:left w:val="nil"/>
              <w:bottom w:val="nil"/>
              <w:right w:val="nil"/>
            </w:tcBorders>
            <w:shd w:val="clear" w:color="auto" w:fill="auto"/>
            <w:noWrap/>
            <w:hideMark/>
          </w:tcPr>
          <w:p w14:paraId="3F4A614B"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HCD - R&amp;D Housing and community amenities</w:t>
            </w:r>
          </w:p>
        </w:tc>
        <w:tc>
          <w:tcPr>
            <w:tcW w:w="616" w:type="pct"/>
            <w:tcBorders>
              <w:top w:val="nil"/>
              <w:left w:val="nil"/>
              <w:bottom w:val="nil"/>
              <w:right w:val="nil"/>
            </w:tcBorders>
            <w:shd w:val="clear" w:color="auto" w:fill="auto"/>
            <w:noWrap/>
            <w:hideMark/>
          </w:tcPr>
          <w:p w14:paraId="2383513D" w14:textId="4A7C023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FD06693" w14:textId="709F44F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8FC184D" w14:textId="4010797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A3D2865" w14:textId="0A94FD9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743B696" w14:textId="1A80998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BC050C4" w14:textId="1146EE8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43031508" w14:textId="77777777" w:rsidTr="00E57C0E">
        <w:trPr>
          <w:trHeight w:val="20"/>
        </w:trPr>
        <w:tc>
          <w:tcPr>
            <w:tcW w:w="1305" w:type="pct"/>
            <w:tcBorders>
              <w:top w:val="nil"/>
              <w:left w:val="nil"/>
              <w:bottom w:val="single" w:sz="4" w:space="0" w:color="auto"/>
              <w:right w:val="nil"/>
            </w:tcBorders>
            <w:shd w:val="clear" w:color="auto" w:fill="auto"/>
            <w:noWrap/>
            <w:hideMark/>
          </w:tcPr>
          <w:p w14:paraId="2F88C399"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HCD - Housing and community amenities n.e.c.</w:t>
            </w:r>
          </w:p>
        </w:tc>
        <w:tc>
          <w:tcPr>
            <w:tcW w:w="616" w:type="pct"/>
            <w:tcBorders>
              <w:top w:val="nil"/>
              <w:left w:val="nil"/>
              <w:bottom w:val="nil"/>
              <w:right w:val="nil"/>
            </w:tcBorders>
            <w:shd w:val="clear" w:color="auto" w:fill="auto"/>
            <w:noWrap/>
            <w:hideMark/>
          </w:tcPr>
          <w:p w14:paraId="2CC4846C" w14:textId="3530306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A18F3C9" w14:textId="06E51A1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A4D239B" w14:textId="02DB5C3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C5BFD59" w14:textId="27D5FB9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0132BE7" w14:textId="5587A13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A881E67" w14:textId="5FAFD94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5FDAFFB1" w14:textId="77777777" w:rsidTr="00E57C0E">
        <w:trPr>
          <w:trHeight w:val="20"/>
        </w:trPr>
        <w:tc>
          <w:tcPr>
            <w:tcW w:w="1305" w:type="pct"/>
            <w:tcBorders>
              <w:top w:val="nil"/>
              <w:left w:val="nil"/>
              <w:bottom w:val="nil"/>
              <w:right w:val="nil"/>
            </w:tcBorders>
            <w:shd w:val="clear" w:color="auto" w:fill="E3F1E1" w:themeFill="accent4" w:themeFillTint="33"/>
            <w:hideMark/>
          </w:tcPr>
          <w:p w14:paraId="684AB5E9"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Health</w:t>
            </w:r>
          </w:p>
        </w:tc>
        <w:tc>
          <w:tcPr>
            <w:tcW w:w="616" w:type="pct"/>
            <w:tcBorders>
              <w:top w:val="single" w:sz="4" w:space="0" w:color="auto"/>
              <w:left w:val="nil"/>
              <w:bottom w:val="nil"/>
              <w:right w:val="nil"/>
            </w:tcBorders>
            <w:shd w:val="clear" w:color="auto" w:fill="E3F1E1" w:themeFill="accent4" w:themeFillTint="33"/>
            <w:hideMark/>
          </w:tcPr>
          <w:p w14:paraId="15319BF7" w14:textId="581B6976"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2B3910EC" w14:textId="778E3FEE"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474AFE6F" w14:textId="4399B9B8"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449,440</w:t>
            </w:r>
          </w:p>
        </w:tc>
        <w:tc>
          <w:tcPr>
            <w:tcW w:w="616" w:type="pct"/>
            <w:tcBorders>
              <w:top w:val="single" w:sz="4" w:space="0" w:color="auto"/>
              <w:left w:val="nil"/>
              <w:bottom w:val="nil"/>
              <w:right w:val="nil"/>
            </w:tcBorders>
            <w:shd w:val="clear" w:color="auto" w:fill="E3F1E1" w:themeFill="accent4" w:themeFillTint="33"/>
            <w:hideMark/>
          </w:tcPr>
          <w:p w14:paraId="230FB3DB" w14:textId="5AB516B6"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476,406</w:t>
            </w:r>
          </w:p>
        </w:tc>
        <w:tc>
          <w:tcPr>
            <w:tcW w:w="616" w:type="pct"/>
            <w:tcBorders>
              <w:top w:val="single" w:sz="4" w:space="0" w:color="auto"/>
              <w:left w:val="nil"/>
              <w:bottom w:val="nil"/>
              <w:right w:val="nil"/>
            </w:tcBorders>
            <w:shd w:val="clear" w:color="auto" w:fill="E3F1E1" w:themeFill="accent4" w:themeFillTint="33"/>
            <w:hideMark/>
          </w:tcPr>
          <w:p w14:paraId="2C738FA2" w14:textId="65E90F09"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504,991</w:t>
            </w:r>
          </w:p>
        </w:tc>
        <w:tc>
          <w:tcPr>
            <w:tcW w:w="616" w:type="pct"/>
            <w:tcBorders>
              <w:top w:val="single" w:sz="4" w:space="0" w:color="auto"/>
              <w:left w:val="nil"/>
              <w:bottom w:val="nil"/>
              <w:right w:val="nil"/>
            </w:tcBorders>
            <w:shd w:val="clear" w:color="auto" w:fill="E3F1E1" w:themeFill="accent4" w:themeFillTint="33"/>
            <w:hideMark/>
          </w:tcPr>
          <w:p w14:paraId="685A00BB" w14:textId="7AE1D2CB"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1,430,837</w:t>
            </w:r>
          </w:p>
        </w:tc>
      </w:tr>
      <w:tr w:rsidR="003B7009" w:rsidRPr="003B7009" w14:paraId="7C5338BA" w14:textId="77777777" w:rsidTr="00E57C0E">
        <w:trPr>
          <w:trHeight w:val="20"/>
        </w:trPr>
        <w:tc>
          <w:tcPr>
            <w:tcW w:w="1305" w:type="pct"/>
            <w:tcBorders>
              <w:top w:val="nil"/>
              <w:left w:val="nil"/>
              <w:bottom w:val="nil"/>
              <w:right w:val="nil"/>
            </w:tcBorders>
            <w:shd w:val="clear" w:color="auto" w:fill="auto"/>
            <w:noWrap/>
            <w:hideMark/>
          </w:tcPr>
          <w:p w14:paraId="6F900982"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 - Medical Products, appliances and equipment</w:t>
            </w:r>
          </w:p>
        </w:tc>
        <w:tc>
          <w:tcPr>
            <w:tcW w:w="616" w:type="pct"/>
            <w:tcBorders>
              <w:top w:val="nil"/>
              <w:left w:val="nil"/>
              <w:bottom w:val="nil"/>
              <w:right w:val="nil"/>
            </w:tcBorders>
            <w:shd w:val="clear" w:color="auto" w:fill="auto"/>
            <w:noWrap/>
            <w:hideMark/>
          </w:tcPr>
          <w:p w14:paraId="03C9A2C3" w14:textId="4117FAB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975C0EB" w14:textId="2A2C43A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576EC68" w14:textId="1AFD3FA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E584759" w14:textId="52EF6D2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BB5D495" w14:textId="7ED434B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9A93B42" w14:textId="6C936E3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4C9AC5E0" w14:textId="77777777" w:rsidTr="00E57C0E">
        <w:trPr>
          <w:trHeight w:val="20"/>
        </w:trPr>
        <w:tc>
          <w:tcPr>
            <w:tcW w:w="1305" w:type="pct"/>
            <w:tcBorders>
              <w:top w:val="nil"/>
              <w:left w:val="nil"/>
              <w:bottom w:val="nil"/>
              <w:right w:val="nil"/>
            </w:tcBorders>
            <w:shd w:val="clear" w:color="auto" w:fill="auto"/>
            <w:noWrap/>
            <w:hideMark/>
          </w:tcPr>
          <w:p w14:paraId="1FB42B0A"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 - Outpatient Services</w:t>
            </w:r>
          </w:p>
        </w:tc>
        <w:tc>
          <w:tcPr>
            <w:tcW w:w="616" w:type="pct"/>
            <w:tcBorders>
              <w:top w:val="nil"/>
              <w:left w:val="nil"/>
              <w:bottom w:val="nil"/>
              <w:right w:val="nil"/>
            </w:tcBorders>
            <w:shd w:val="clear" w:color="auto" w:fill="auto"/>
            <w:noWrap/>
            <w:hideMark/>
          </w:tcPr>
          <w:p w14:paraId="5DE3CEA9" w14:textId="78A989F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77C13CC" w14:textId="44C5CCC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E1029E3" w14:textId="0C26F62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D23CCD3" w14:textId="5CB265F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1756896" w14:textId="361D2F6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03A033C" w14:textId="5F936DD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12A72C93" w14:textId="77777777" w:rsidTr="00E57C0E">
        <w:trPr>
          <w:trHeight w:val="20"/>
        </w:trPr>
        <w:tc>
          <w:tcPr>
            <w:tcW w:w="1305" w:type="pct"/>
            <w:tcBorders>
              <w:top w:val="nil"/>
              <w:left w:val="nil"/>
              <w:bottom w:val="nil"/>
              <w:right w:val="nil"/>
            </w:tcBorders>
            <w:shd w:val="clear" w:color="auto" w:fill="auto"/>
            <w:noWrap/>
            <w:hideMark/>
          </w:tcPr>
          <w:p w14:paraId="68A5FB3D"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 - Hospital Services</w:t>
            </w:r>
          </w:p>
        </w:tc>
        <w:tc>
          <w:tcPr>
            <w:tcW w:w="616" w:type="pct"/>
            <w:tcBorders>
              <w:top w:val="nil"/>
              <w:left w:val="nil"/>
              <w:bottom w:val="nil"/>
              <w:right w:val="nil"/>
            </w:tcBorders>
            <w:shd w:val="clear" w:color="auto" w:fill="auto"/>
            <w:noWrap/>
            <w:hideMark/>
          </w:tcPr>
          <w:p w14:paraId="42A44BB8" w14:textId="37621B7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3F9B5A6" w14:textId="601A670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DBA790D" w14:textId="7844853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5C28FBC" w14:textId="2211C8B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410F8FC" w14:textId="2FAB132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A2CC5A6" w14:textId="218D0C2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1777012F" w14:textId="77777777" w:rsidTr="00E57C0E">
        <w:trPr>
          <w:trHeight w:val="20"/>
        </w:trPr>
        <w:tc>
          <w:tcPr>
            <w:tcW w:w="1305" w:type="pct"/>
            <w:tcBorders>
              <w:top w:val="nil"/>
              <w:left w:val="nil"/>
              <w:bottom w:val="nil"/>
              <w:right w:val="nil"/>
            </w:tcBorders>
            <w:shd w:val="clear" w:color="auto" w:fill="auto"/>
            <w:noWrap/>
            <w:hideMark/>
          </w:tcPr>
          <w:p w14:paraId="3265D0E1"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 - Public Health Services</w:t>
            </w:r>
          </w:p>
        </w:tc>
        <w:tc>
          <w:tcPr>
            <w:tcW w:w="616" w:type="pct"/>
            <w:tcBorders>
              <w:top w:val="nil"/>
              <w:left w:val="nil"/>
              <w:bottom w:val="nil"/>
              <w:right w:val="nil"/>
            </w:tcBorders>
            <w:shd w:val="clear" w:color="auto" w:fill="auto"/>
            <w:noWrap/>
            <w:hideMark/>
          </w:tcPr>
          <w:p w14:paraId="070B1A8A" w14:textId="21BAF7C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005C898" w14:textId="0D28BB9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8ED4C5C" w14:textId="6851CC1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297106F" w14:textId="3B5D0C9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85E2FD7" w14:textId="47671D1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05E29D0" w14:textId="10BC7E6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ABAF9BD" w14:textId="77777777" w:rsidTr="00E57C0E">
        <w:trPr>
          <w:trHeight w:val="20"/>
        </w:trPr>
        <w:tc>
          <w:tcPr>
            <w:tcW w:w="1305" w:type="pct"/>
            <w:tcBorders>
              <w:top w:val="nil"/>
              <w:left w:val="nil"/>
              <w:bottom w:val="nil"/>
              <w:right w:val="nil"/>
            </w:tcBorders>
            <w:shd w:val="clear" w:color="auto" w:fill="auto"/>
            <w:noWrap/>
            <w:hideMark/>
          </w:tcPr>
          <w:p w14:paraId="4B751BC6"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 - R&amp;D Health</w:t>
            </w:r>
          </w:p>
        </w:tc>
        <w:tc>
          <w:tcPr>
            <w:tcW w:w="616" w:type="pct"/>
            <w:tcBorders>
              <w:top w:val="nil"/>
              <w:left w:val="nil"/>
              <w:bottom w:val="nil"/>
              <w:right w:val="nil"/>
            </w:tcBorders>
            <w:shd w:val="clear" w:color="auto" w:fill="auto"/>
            <w:noWrap/>
            <w:hideMark/>
          </w:tcPr>
          <w:p w14:paraId="66B76181" w14:textId="092C8F7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4248541" w14:textId="492D0E8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818DDF7" w14:textId="397AA04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D080DEB" w14:textId="4C32546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90ACB43" w14:textId="21F43A0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E24897A" w14:textId="7EE93BC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2EE05B13" w14:textId="77777777" w:rsidTr="00E57C0E">
        <w:trPr>
          <w:trHeight w:val="20"/>
        </w:trPr>
        <w:tc>
          <w:tcPr>
            <w:tcW w:w="1305" w:type="pct"/>
            <w:tcBorders>
              <w:top w:val="nil"/>
              <w:left w:val="nil"/>
              <w:bottom w:val="nil"/>
              <w:right w:val="nil"/>
            </w:tcBorders>
            <w:shd w:val="clear" w:color="auto" w:fill="auto"/>
            <w:noWrap/>
            <w:hideMark/>
          </w:tcPr>
          <w:p w14:paraId="220BC17F"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H - Health n.e.c.</w:t>
            </w:r>
          </w:p>
        </w:tc>
        <w:tc>
          <w:tcPr>
            <w:tcW w:w="616" w:type="pct"/>
            <w:tcBorders>
              <w:top w:val="nil"/>
              <w:left w:val="nil"/>
              <w:bottom w:val="nil"/>
              <w:right w:val="nil"/>
            </w:tcBorders>
            <w:shd w:val="clear" w:color="auto" w:fill="auto"/>
            <w:noWrap/>
            <w:hideMark/>
          </w:tcPr>
          <w:p w14:paraId="380AE5F3" w14:textId="462F5AC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52479B1" w14:textId="47971B8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35D29AF" w14:textId="3BCA2FC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449,440</w:t>
            </w:r>
          </w:p>
        </w:tc>
        <w:tc>
          <w:tcPr>
            <w:tcW w:w="616" w:type="pct"/>
            <w:tcBorders>
              <w:top w:val="nil"/>
              <w:left w:val="nil"/>
              <w:bottom w:val="nil"/>
              <w:right w:val="nil"/>
            </w:tcBorders>
            <w:shd w:val="clear" w:color="auto" w:fill="auto"/>
            <w:noWrap/>
            <w:hideMark/>
          </w:tcPr>
          <w:p w14:paraId="1814E2C3" w14:textId="27BE44A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476,406</w:t>
            </w:r>
          </w:p>
        </w:tc>
        <w:tc>
          <w:tcPr>
            <w:tcW w:w="616" w:type="pct"/>
            <w:tcBorders>
              <w:top w:val="nil"/>
              <w:left w:val="nil"/>
              <w:bottom w:val="nil"/>
              <w:right w:val="nil"/>
            </w:tcBorders>
            <w:shd w:val="clear" w:color="auto" w:fill="auto"/>
            <w:noWrap/>
            <w:hideMark/>
          </w:tcPr>
          <w:p w14:paraId="744C118D" w14:textId="3D6E41E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c>
          <w:tcPr>
            <w:tcW w:w="616" w:type="pct"/>
            <w:tcBorders>
              <w:top w:val="nil"/>
              <w:left w:val="nil"/>
              <w:bottom w:val="nil"/>
              <w:right w:val="nil"/>
            </w:tcBorders>
            <w:shd w:val="clear" w:color="auto" w:fill="auto"/>
            <w:noWrap/>
            <w:hideMark/>
          </w:tcPr>
          <w:p w14:paraId="254A4FB3" w14:textId="725C076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1,430,837</w:t>
            </w:r>
          </w:p>
        </w:tc>
      </w:tr>
      <w:tr w:rsidR="003B7009" w:rsidRPr="003B7009" w14:paraId="21652EE4" w14:textId="77777777" w:rsidTr="00E57C0E">
        <w:trPr>
          <w:trHeight w:val="20"/>
        </w:trPr>
        <w:tc>
          <w:tcPr>
            <w:tcW w:w="1305" w:type="pct"/>
            <w:tcBorders>
              <w:top w:val="single" w:sz="4" w:space="0" w:color="auto"/>
              <w:left w:val="nil"/>
              <w:bottom w:val="nil"/>
              <w:right w:val="nil"/>
            </w:tcBorders>
            <w:shd w:val="clear" w:color="auto" w:fill="E3F1E1" w:themeFill="accent4" w:themeFillTint="33"/>
            <w:hideMark/>
          </w:tcPr>
          <w:p w14:paraId="7012A198"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Recreation, Culture, Religion</w:t>
            </w:r>
          </w:p>
        </w:tc>
        <w:tc>
          <w:tcPr>
            <w:tcW w:w="616" w:type="pct"/>
            <w:tcBorders>
              <w:top w:val="single" w:sz="4" w:space="0" w:color="auto"/>
              <w:left w:val="nil"/>
              <w:bottom w:val="nil"/>
              <w:right w:val="nil"/>
            </w:tcBorders>
            <w:shd w:val="clear" w:color="auto" w:fill="E3F1E1" w:themeFill="accent4" w:themeFillTint="33"/>
            <w:hideMark/>
          </w:tcPr>
          <w:p w14:paraId="15CE3F2E" w14:textId="65B26F3D"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245A7E09" w14:textId="5E940E1E"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3EA1ED32" w14:textId="50CD3094"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65156D68" w14:textId="119B5B00"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02130B3F" w14:textId="26B69B28"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2FA328E9" w14:textId="1F60FC96"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r>
      <w:tr w:rsidR="003B7009" w:rsidRPr="003B7009" w14:paraId="6EDA4BA8" w14:textId="77777777" w:rsidTr="00E57C0E">
        <w:trPr>
          <w:trHeight w:val="20"/>
        </w:trPr>
        <w:tc>
          <w:tcPr>
            <w:tcW w:w="1305" w:type="pct"/>
            <w:tcBorders>
              <w:top w:val="nil"/>
              <w:left w:val="nil"/>
              <w:bottom w:val="nil"/>
              <w:right w:val="nil"/>
            </w:tcBorders>
            <w:shd w:val="clear" w:color="auto" w:fill="auto"/>
            <w:noWrap/>
            <w:hideMark/>
          </w:tcPr>
          <w:p w14:paraId="41C4ACCE"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RCR - Recreational and sporting services</w:t>
            </w:r>
          </w:p>
        </w:tc>
        <w:tc>
          <w:tcPr>
            <w:tcW w:w="616" w:type="pct"/>
            <w:tcBorders>
              <w:top w:val="nil"/>
              <w:left w:val="nil"/>
              <w:bottom w:val="nil"/>
              <w:right w:val="nil"/>
            </w:tcBorders>
            <w:shd w:val="clear" w:color="auto" w:fill="auto"/>
            <w:noWrap/>
            <w:hideMark/>
          </w:tcPr>
          <w:p w14:paraId="31263BB8" w14:textId="4B7594C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2CDD65D" w14:textId="31C9A28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DA5836D" w14:textId="05F4A9D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1AFDE0A" w14:textId="3346034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2E5FF9F" w14:textId="5ED76DB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C8C565F" w14:textId="5F8E940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01E120CA" w14:textId="77777777" w:rsidTr="00E57C0E">
        <w:trPr>
          <w:trHeight w:val="20"/>
        </w:trPr>
        <w:tc>
          <w:tcPr>
            <w:tcW w:w="1305" w:type="pct"/>
            <w:tcBorders>
              <w:top w:val="nil"/>
              <w:left w:val="nil"/>
              <w:bottom w:val="nil"/>
              <w:right w:val="nil"/>
            </w:tcBorders>
            <w:shd w:val="clear" w:color="auto" w:fill="auto"/>
            <w:noWrap/>
            <w:hideMark/>
          </w:tcPr>
          <w:p w14:paraId="4795615E"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RCR - Cultural Services</w:t>
            </w:r>
          </w:p>
        </w:tc>
        <w:tc>
          <w:tcPr>
            <w:tcW w:w="616" w:type="pct"/>
            <w:tcBorders>
              <w:top w:val="nil"/>
              <w:left w:val="nil"/>
              <w:bottom w:val="nil"/>
              <w:right w:val="nil"/>
            </w:tcBorders>
            <w:shd w:val="clear" w:color="auto" w:fill="auto"/>
            <w:noWrap/>
            <w:hideMark/>
          </w:tcPr>
          <w:p w14:paraId="48C53E5F" w14:textId="4ECB219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1F69994" w14:textId="6D72767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C6E9F26" w14:textId="485BE75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ADC7396" w14:textId="5E750F1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64B01DB" w14:textId="45C7799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6930985" w14:textId="2EF8043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129657B" w14:textId="77777777" w:rsidTr="00E57C0E">
        <w:trPr>
          <w:trHeight w:val="20"/>
        </w:trPr>
        <w:tc>
          <w:tcPr>
            <w:tcW w:w="1305" w:type="pct"/>
            <w:tcBorders>
              <w:top w:val="nil"/>
              <w:left w:val="nil"/>
              <w:bottom w:val="nil"/>
              <w:right w:val="nil"/>
            </w:tcBorders>
            <w:shd w:val="clear" w:color="auto" w:fill="auto"/>
            <w:noWrap/>
            <w:hideMark/>
          </w:tcPr>
          <w:p w14:paraId="34B3A765"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 xml:space="preserve">RCR - Broadcasting and publishing services </w:t>
            </w:r>
          </w:p>
        </w:tc>
        <w:tc>
          <w:tcPr>
            <w:tcW w:w="616" w:type="pct"/>
            <w:tcBorders>
              <w:top w:val="nil"/>
              <w:left w:val="nil"/>
              <w:bottom w:val="nil"/>
              <w:right w:val="nil"/>
            </w:tcBorders>
            <w:shd w:val="clear" w:color="auto" w:fill="auto"/>
            <w:noWrap/>
            <w:hideMark/>
          </w:tcPr>
          <w:p w14:paraId="6B29A881" w14:textId="342CECC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8325367" w14:textId="22E7817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DB657AD" w14:textId="60D9DCC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74E9011" w14:textId="4013496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BF9BEB4" w14:textId="6CCCEAA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715FA20" w14:textId="449ECA6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2032DECA" w14:textId="77777777" w:rsidTr="00E57C0E">
        <w:trPr>
          <w:trHeight w:val="20"/>
        </w:trPr>
        <w:tc>
          <w:tcPr>
            <w:tcW w:w="1305" w:type="pct"/>
            <w:tcBorders>
              <w:top w:val="nil"/>
              <w:left w:val="nil"/>
              <w:bottom w:val="nil"/>
              <w:right w:val="nil"/>
            </w:tcBorders>
            <w:shd w:val="clear" w:color="auto" w:fill="auto"/>
            <w:noWrap/>
            <w:hideMark/>
          </w:tcPr>
          <w:p w14:paraId="0C2700F2"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RCR - Religious and Other Community Services</w:t>
            </w:r>
          </w:p>
        </w:tc>
        <w:tc>
          <w:tcPr>
            <w:tcW w:w="616" w:type="pct"/>
            <w:tcBorders>
              <w:top w:val="nil"/>
              <w:left w:val="nil"/>
              <w:bottom w:val="nil"/>
              <w:right w:val="nil"/>
            </w:tcBorders>
            <w:shd w:val="clear" w:color="auto" w:fill="auto"/>
            <w:noWrap/>
            <w:hideMark/>
          </w:tcPr>
          <w:p w14:paraId="4F5BEE8C" w14:textId="312C7CE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4DB5843" w14:textId="645B8A6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DD5CF4B" w14:textId="054798F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E7E38A0" w14:textId="456B735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B4F3DCC" w14:textId="2A4A7C5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A0295A0" w14:textId="1A2416A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1AFB501C" w14:textId="77777777" w:rsidTr="00E57C0E">
        <w:trPr>
          <w:trHeight w:val="20"/>
        </w:trPr>
        <w:tc>
          <w:tcPr>
            <w:tcW w:w="1305" w:type="pct"/>
            <w:tcBorders>
              <w:top w:val="nil"/>
              <w:left w:val="nil"/>
              <w:bottom w:val="nil"/>
              <w:right w:val="nil"/>
            </w:tcBorders>
            <w:shd w:val="clear" w:color="auto" w:fill="auto"/>
            <w:noWrap/>
            <w:hideMark/>
          </w:tcPr>
          <w:p w14:paraId="5A999FAE"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RCR - R&amp;D Recreation, Culture and Religion</w:t>
            </w:r>
          </w:p>
        </w:tc>
        <w:tc>
          <w:tcPr>
            <w:tcW w:w="616" w:type="pct"/>
            <w:tcBorders>
              <w:top w:val="nil"/>
              <w:left w:val="nil"/>
              <w:bottom w:val="nil"/>
              <w:right w:val="nil"/>
            </w:tcBorders>
            <w:shd w:val="clear" w:color="auto" w:fill="auto"/>
            <w:noWrap/>
            <w:hideMark/>
          </w:tcPr>
          <w:p w14:paraId="528FCE2C" w14:textId="1EA1DAE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1E54067" w14:textId="0C6DC17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2E4A822" w14:textId="2EED948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912C572" w14:textId="73C7E9B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02D5686" w14:textId="70EA032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65D0E52" w14:textId="6B8AA54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3F41D743" w14:textId="77777777" w:rsidTr="00E57C0E">
        <w:trPr>
          <w:trHeight w:val="20"/>
        </w:trPr>
        <w:tc>
          <w:tcPr>
            <w:tcW w:w="1305" w:type="pct"/>
            <w:tcBorders>
              <w:top w:val="nil"/>
              <w:left w:val="nil"/>
              <w:bottom w:val="nil"/>
              <w:right w:val="nil"/>
            </w:tcBorders>
            <w:shd w:val="clear" w:color="auto" w:fill="auto"/>
            <w:noWrap/>
            <w:hideMark/>
          </w:tcPr>
          <w:p w14:paraId="363D0EC0"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RCR - Recreation, culture and religion n.e.c.</w:t>
            </w:r>
          </w:p>
        </w:tc>
        <w:tc>
          <w:tcPr>
            <w:tcW w:w="616" w:type="pct"/>
            <w:tcBorders>
              <w:top w:val="nil"/>
              <w:left w:val="nil"/>
              <w:bottom w:val="nil"/>
              <w:right w:val="nil"/>
            </w:tcBorders>
            <w:shd w:val="clear" w:color="auto" w:fill="auto"/>
            <w:noWrap/>
            <w:hideMark/>
          </w:tcPr>
          <w:p w14:paraId="5F6BA7A7" w14:textId="041D191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00B8B95" w14:textId="4FEBA31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5F6ABC6" w14:textId="2CF6117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32879D6" w14:textId="692D180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2D6D558" w14:textId="5AAAB0A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6C35932" w14:textId="54C0633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5C645CF3" w14:textId="77777777" w:rsidTr="00E57C0E">
        <w:trPr>
          <w:trHeight w:val="20"/>
        </w:trPr>
        <w:tc>
          <w:tcPr>
            <w:tcW w:w="1305" w:type="pct"/>
            <w:tcBorders>
              <w:top w:val="single" w:sz="4" w:space="0" w:color="auto"/>
              <w:left w:val="nil"/>
              <w:bottom w:val="nil"/>
              <w:right w:val="nil"/>
            </w:tcBorders>
            <w:shd w:val="clear" w:color="auto" w:fill="E3F1E1" w:themeFill="accent4" w:themeFillTint="33"/>
            <w:hideMark/>
          </w:tcPr>
          <w:p w14:paraId="5BEC082B"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Education</w:t>
            </w:r>
          </w:p>
        </w:tc>
        <w:tc>
          <w:tcPr>
            <w:tcW w:w="616" w:type="pct"/>
            <w:tcBorders>
              <w:top w:val="single" w:sz="4" w:space="0" w:color="auto"/>
              <w:left w:val="nil"/>
              <w:bottom w:val="nil"/>
              <w:right w:val="nil"/>
            </w:tcBorders>
            <w:shd w:val="clear" w:color="auto" w:fill="E3F1E1" w:themeFill="accent4" w:themeFillTint="33"/>
            <w:hideMark/>
          </w:tcPr>
          <w:p w14:paraId="090249DE" w14:textId="5513ACE0"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37D880DF" w14:textId="41278049"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07D4BFD6" w14:textId="3A6D282A"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449,440</w:t>
            </w:r>
          </w:p>
        </w:tc>
        <w:tc>
          <w:tcPr>
            <w:tcW w:w="616" w:type="pct"/>
            <w:tcBorders>
              <w:top w:val="single" w:sz="4" w:space="0" w:color="auto"/>
              <w:left w:val="nil"/>
              <w:bottom w:val="nil"/>
              <w:right w:val="nil"/>
            </w:tcBorders>
            <w:shd w:val="clear" w:color="auto" w:fill="E3F1E1" w:themeFill="accent4" w:themeFillTint="33"/>
            <w:hideMark/>
          </w:tcPr>
          <w:p w14:paraId="07D01989" w14:textId="178784D4"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476,406</w:t>
            </w:r>
          </w:p>
        </w:tc>
        <w:tc>
          <w:tcPr>
            <w:tcW w:w="616" w:type="pct"/>
            <w:tcBorders>
              <w:top w:val="single" w:sz="4" w:space="0" w:color="auto"/>
              <w:left w:val="nil"/>
              <w:bottom w:val="nil"/>
              <w:right w:val="nil"/>
            </w:tcBorders>
            <w:shd w:val="clear" w:color="auto" w:fill="E3F1E1" w:themeFill="accent4" w:themeFillTint="33"/>
            <w:hideMark/>
          </w:tcPr>
          <w:p w14:paraId="5570575D" w14:textId="3A407D32"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504,991</w:t>
            </w:r>
          </w:p>
        </w:tc>
        <w:tc>
          <w:tcPr>
            <w:tcW w:w="616" w:type="pct"/>
            <w:tcBorders>
              <w:top w:val="single" w:sz="4" w:space="0" w:color="auto"/>
              <w:left w:val="nil"/>
              <w:bottom w:val="nil"/>
              <w:right w:val="nil"/>
            </w:tcBorders>
            <w:shd w:val="clear" w:color="auto" w:fill="E3F1E1" w:themeFill="accent4" w:themeFillTint="33"/>
            <w:hideMark/>
          </w:tcPr>
          <w:p w14:paraId="51D46646" w14:textId="1BA2A848"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1,430,837</w:t>
            </w:r>
          </w:p>
        </w:tc>
      </w:tr>
      <w:tr w:rsidR="003B7009" w:rsidRPr="003B7009" w14:paraId="3E560956" w14:textId="77777777" w:rsidTr="00E57C0E">
        <w:trPr>
          <w:trHeight w:val="20"/>
        </w:trPr>
        <w:tc>
          <w:tcPr>
            <w:tcW w:w="1305" w:type="pct"/>
            <w:tcBorders>
              <w:top w:val="nil"/>
              <w:left w:val="nil"/>
              <w:bottom w:val="nil"/>
              <w:right w:val="nil"/>
            </w:tcBorders>
            <w:shd w:val="clear" w:color="auto" w:fill="auto"/>
            <w:noWrap/>
            <w:hideMark/>
          </w:tcPr>
          <w:p w14:paraId="114EC819"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 - Pre-primary and primary education</w:t>
            </w:r>
          </w:p>
        </w:tc>
        <w:tc>
          <w:tcPr>
            <w:tcW w:w="616" w:type="pct"/>
            <w:tcBorders>
              <w:top w:val="nil"/>
              <w:left w:val="nil"/>
              <w:bottom w:val="nil"/>
              <w:right w:val="nil"/>
            </w:tcBorders>
            <w:shd w:val="clear" w:color="auto" w:fill="auto"/>
            <w:noWrap/>
            <w:hideMark/>
          </w:tcPr>
          <w:p w14:paraId="165F1730" w14:textId="51647FA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9095771" w14:textId="2C4ABC5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66C5D12" w14:textId="6977E74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63B5F46" w14:textId="563576B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EC2AAD6" w14:textId="799E9F6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D20CC9B" w14:textId="1FD080D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4FEAA391" w14:textId="77777777" w:rsidTr="00E57C0E">
        <w:trPr>
          <w:trHeight w:val="20"/>
        </w:trPr>
        <w:tc>
          <w:tcPr>
            <w:tcW w:w="1305" w:type="pct"/>
            <w:tcBorders>
              <w:top w:val="nil"/>
              <w:left w:val="nil"/>
              <w:bottom w:val="nil"/>
              <w:right w:val="nil"/>
            </w:tcBorders>
            <w:shd w:val="clear" w:color="auto" w:fill="auto"/>
            <w:noWrap/>
            <w:hideMark/>
          </w:tcPr>
          <w:p w14:paraId="05B0F679"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 - Secondary education</w:t>
            </w:r>
          </w:p>
        </w:tc>
        <w:tc>
          <w:tcPr>
            <w:tcW w:w="616" w:type="pct"/>
            <w:tcBorders>
              <w:top w:val="nil"/>
              <w:left w:val="nil"/>
              <w:bottom w:val="nil"/>
              <w:right w:val="nil"/>
            </w:tcBorders>
            <w:shd w:val="clear" w:color="auto" w:fill="auto"/>
            <w:noWrap/>
            <w:hideMark/>
          </w:tcPr>
          <w:p w14:paraId="70EC2558" w14:textId="7C27170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E619350" w14:textId="04DF73C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05D1EBB" w14:textId="15A5C0C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F70CE64" w14:textId="01E348B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5AA9FE0" w14:textId="019B7DD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DC45480" w14:textId="2522246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3319F760" w14:textId="77777777" w:rsidTr="00E57C0E">
        <w:trPr>
          <w:trHeight w:val="20"/>
        </w:trPr>
        <w:tc>
          <w:tcPr>
            <w:tcW w:w="1305" w:type="pct"/>
            <w:tcBorders>
              <w:top w:val="nil"/>
              <w:left w:val="nil"/>
              <w:bottom w:val="nil"/>
              <w:right w:val="nil"/>
            </w:tcBorders>
            <w:shd w:val="clear" w:color="auto" w:fill="auto"/>
            <w:noWrap/>
            <w:hideMark/>
          </w:tcPr>
          <w:p w14:paraId="7791CF2F"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 - Post-secondary non-tertiary education</w:t>
            </w:r>
          </w:p>
        </w:tc>
        <w:tc>
          <w:tcPr>
            <w:tcW w:w="616" w:type="pct"/>
            <w:tcBorders>
              <w:top w:val="nil"/>
              <w:left w:val="nil"/>
              <w:bottom w:val="nil"/>
              <w:right w:val="nil"/>
            </w:tcBorders>
            <w:shd w:val="clear" w:color="auto" w:fill="auto"/>
            <w:noWrap/>
            <w:hideMark/>
          </w:tcPr>
          <w:p w14:paraId="2FC6324A" w14:textId="228EED2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184103B" w14:textId="4C2E91E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26F8EFD" w14:textId="12D20B1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CCD3470" w14:textId="6DF0D07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7616CD3" w14:textId="66893C5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F98C713" w14:textId="40C0805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236C0830" w14:textId="77777777" w:rsidTr="00E57C0E">
        <w:trPr>
          <w:trHeight w:val="20"/>
        </w:trPr>
        <w:tc>
          <w:tcPr>
            <w:tcW w:w="1305" w:type="pct"/>
            <w:tcBorders>
              <w:top w:val="nil"/>
              <w:left w:val="nil"/>
              <w:bottom w:val="nil"/>
              <w:right w:val="nil"/>
            </w:tcBorders>
            <w:shd w:val="clear" w:color="auto" w:fill="auto"/>
            <w:noWrap/>
            <w:hideMark/>
          </w:tcPr>
          <w:p w14:paraId="0633DEB1"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 - Tertiary education</w:t>
            </w:r>
          </w:p>
        </w:tc>
        <w:tc>
          <w:tcPr>
            <w:tcW w:w="616" w:type="pct"/>
            <w:tcBorders>
              <w:top w:val="nil"/>
              <w:left w:val="nil"/>
              <w:bottom w:val="nil"/>
              <w:right w:val="nil"/>
            </w:tcBorders>
            <w:shd w:val="clear" w:color="auto" w:fill="auto"/>
            <w:noWrap/>
            <w:hideMark/>
          </w:tcPr>
          <w:p w14:paraId="0EF2E45A" w14:textId="70E8F33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72EFF14" w14:textId="64CB711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0FC6674" w14:textId="7604128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DF32EDA" w14:textId="6779514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55962AD" w14:textId="6614FB4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12B4110" w14:textId="10B3206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7209079" w14:textId="77777777" w:rsidTr="00E57C0E">
        <w:trPr>
          <w:trHeight w:val="20"/>
        </w:trPr>
        <w:tc>
          <w:tcPr>
            <w:tcW w:w="1305" w:type="pct"/>
            <w:tcBorders>
              <w:top w:val="nil"/>
              <w:left w:val="nil"/>
              <w:bottom w:val="nil"/>
              <w:right w:val="nil"/>
            </w:tcBorders>
            <w:shd w:val="clear" w:color="auto" w:fill="auto"/>
            <w:noWrap/>
            <w:hideMark/>
          </w:tcPr>
          <w:p w14:paraId="0282D935"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 - Education not definable by level</w:t>
            </w:r>
          </w:p>
        </w:tc>
        <w:tc>
          <w:tcPr>
            <w:tcW w:w="616" w:type="pct"/>
            <w:tcBorders>
              <w:top w:val="nil"/>
              <w:left w:val="nil"/>
              <w:bottom w:val="nil"/>
              <w:right w:val="nil"/>
            </w:tcBorders>
            <w:shd w:val="clear" w:color="auto" w:fill="auto"/>
            <w:noWrap/>
            <w:hideMark/>
          </w:tcPr>
          <w:p w14:paraId="70D36978" w14:textId="72400C3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98208AB" w14:textId="4F4171A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C93846E" w14:textId="18E2D4A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24C30A1" w14:textId="433FDFE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FF23A9A" w14:textId="5253639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ABEDC91" w14:textId="4D906F2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251A2A62" w14:textId="77777777" w:rsidTr="00E57C0E">
        <w:trPr>
          <w:trHeight w:val="20"/>
        </w:trPr>
        <w:tc>
          <w:tcPr>
            <w:tcW w:w="1305" w:type="pct"/>
            <w:tcBorders>
              <w:top w:val="nil"/>
              <w:left w:val="nil"/>
              <w:bottom w:val="nil"/>
              <w:right w:val="nil"/>
            </w:tcBorders>
            <w:shd w:val="clear" w:color="auto" w:fill="auto"/>
            <w:noWrap/>
            <w:hideMark/>
          </w:tcPr>
          <w:p w14:paraId="67535E14"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 - Subsidiary services to education</w:t>
            </w:r>
          </w:p>
        </w:tc>
        <w:tc>
          <w:tcPr>
            <w:tcW w:w="616" w:type="pct"/>
            <w:tcBorders>
              <w:top w:val="nil"/>
              <w:left w:val="nil"/>
              <w:bottom w:val="nil"/>
              <w:right w:val="nil"/>
            </w:tcBorders>
            <w:shd w:val="clear" w:color="auto" w:fill="auto"/>
            <w:noWrap/>
            <w:hideMark/>
          </w:tcPr>
          <w:p w14:paraId="044D033B" w14:textId="352F9AC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981995F" w14:textId="2635D84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BE58810" w14:textId="6F60002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FA18A47" w14:textId="1702F10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342B60A" w14:textId="7AC551F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14E54DB" w14:textId="68F0DB1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1BDEE129" w14:textId="77777777" w:rsidTr="00E57C0E">
        <w:trPr>
          <w:trHeight w:val="20"/>
        </w:trPr>
        <w:tc>
          <w:tcPr>
            <w:tcW w:w="1305" w:type="pct"/>
            <w:tcBorders>
              <w:top w:val="nil"/>
              <w:left w:val="nil"/>
              <w:bottom w:val="nil"/>
              <w:right w:val="nil"/>
            </w:tcBorders>
            <w:shd w:val="clear" w:color="auto" w:fill="auto"/>
            <w:noWrap/>
            <w:hideMark/>
          </w:tcPr>
          <w:p w14:paraId="77D8AD64"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 - R&amp;D education</w:t>
            </w:r>
          </w:p>
        </w:tc>
        <w:tc>
          <w:tcPr>
            <w:tcW w:w="616" w:type="pct"/>
            <w:tcBorders>
              <w:top w:val="nil"/>
              <w:left w:val="nil"/>
              <w:bottom w:val="nil"/>
              <w:right w:val="nil"/>
            </w:tcBorders>
            <w:shd w:val="clear" w:color="auto" w:fill="auto"/>
            <w:noWrap/>
            <w:hideMark/>
          </w:tcPr>
          <w:p w14:paraId="4E80D395" w14:textId="235C19D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F41D784" w14:textId="13F32BC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BF5BB5E" w14:textId="46177D9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D21EBDF" w14:textId="7D47EF1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962CB57" w14:textId="628F124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E1F8FDC" w14:textId="619AFF3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179B9A49" w14:textId="77777777" w:rsidTr="00E57C0E">
        <w:trPr>
          <w:trHeight w:val="20"/>
        </w:trPr>
        <w:tc>
          <w:tcPr>
            <w:tcW w:w="1305" w:type="pct"/>
            <w:tcBorders>
              <w:top w:val="nil"/>
              <w:left w:val="nil"/>
              <w:bottom w:val="single" w:sz="4" w:space="0" w:color="auto"/>
              <w:right w:val="nil"/>
            </w:tcBorders>
            <w:shd w:val="clear" w:color="auto" w:fill="auto"/>
            <w:noWrap/>
            <w:hideMark/>
          </w:tcPr>
          <w:p w14:paraId="5070ADA5"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E - Education n.e.c.</w:t>
            </w:r>
          </w:p>
        </w:tc>
        <w:tc>
          <w:tcPr>
            <w:tcW w:w="616" w:type="pct"/>
            <w:tcBorders>
              <w:top w:val="nil"/>
              <w:left w:val="nil"/>
              <w:bottom w:val="nil"/>
              <w:right w:val="nil"/>
            </w:tcBorders>
            <w:shd w:val="clear" w:color="auto" w:fill="auto"/>
            <w:noWrap/>
            <w:hideMark/>
          </w:tcPr>
          <w:p w14:paraId="0DC28549" w14:textId="5F86543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A7FFC09" w14:textId="54414F1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AF4E028" w14:textId="4FBC6DF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449,440</w:t>
            </w:r>
          </w:p>
        </w:tc>
        <w:tc>
          <w:tcPr>
            <w:tcW w:w="616" w:type="pct"/>
            <w:tcBorders>
              <w:top w:val="nil"/>
              <w:left w:val="nil"/>
              <w:bottom w:val="nil"/>
              <w:right w:val="nil"/>
            </w:tcBorders>
            <w:shd w:val="clear" w:color="auto" w:fill="auto"/>
            <w:noWrap/>
            <w:hideMark/>
          </w:tcPr>
          <w:p w14:paraId="3F480DD0" w14:textId="48313A7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476,406</w:t>
            </w:r>
          </w:p>
        </w:tc>
        <w:tc>
          <w:tcPr>
            <w:tcW w:w="616" w:type="pct"/>
            <w:tcBorders>
              <w:top w:val="nil"/>
              <w:left w:val="nil"/>
              <w:bottom w:val="nil"/>
              <w:right w:val="nil"/>
            </w:tcBorders>
            <w:shd w:val="clear" w:color="auto" w:fill="auto"/>
            <w:noWrap/>
            <w:hideMark/>
          </w:tcPr>
          <w:p w14:paraId="4A46AFA4" w14:textId="0FB3EA5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c>
          <w:tcPr>
            <w:tcW w:w="616" w:type="pct"/>
            <w:tcBorders>
              <w:top w:val="nil"/>
              <w:left w:val="nil"/>
              <w:bottom w:val="nil"/>
              <w:right w:val="nil"/>
            </w:tcBorders>
            <w:shd w:val="clear" w:color="auto" w:fill="auto"/>
            <w:noWrap/>
            <w:hideMark/>
          </w:tcPr>
          <w:p w14:paraId="14CD0092" w14:textId="01F2F3D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1,430,837</w:t>
            </w:r>
          </w:p>
        </w:tc>
      </w:tr>
      <w:tr w:rsidR="003B7009" w:rsidRPr="003B7009" w14:paraId="7E07A9DF" w14:textId="77777777" w:rsidTr="00E57C0E">
        <w:trPr>
          <w:trHeight w:val="20"/>
        </w:trPr>
        <w:tc>
          <w:tcPr>
            <w:tcW w:w="1305" w:type="pct"/>
            <w:tcBorders>
              <w:top w:val="nil"/>
              <w:left w:val="nil"/>
              <w:bottom w:val="nil"/>
              <w:right w:val="nil"/>
            </w:tcBorders>
            <w:shd w:val="clear" w:color="auto" w:fill="E3F1E1" w:themeFill="accent4" w:themeFillTint="33"/>
            <w:hideMark/>
          </w:tcPr>
          <w:p w14:paraId="477AB3AB" w14:textId="77777777" w:rsidR="003B7009" w:rsidRPr="0066493F" w:rsidRDefault="003B7009" w:rsidP="003B7009">
            <w:pPr>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Social Protection</w:t>
            </w:r>
          </w:p>
        </w:tc>
        <w:tc>
          <w:tcPr>
            <w:tcW w:w="616" w:type="pct"/>
            <w:tcBorders>
              <w:top w:val="single" w:sz="4" w:space="0" w:color="auto"/>
              <w:left w:val="nil"/>
              <w:bottom w:val="nil"/>
              <w:right w:val="nil"/>
            </w:tcBorders>
            <w:shd w:val="clear" w:color="auto" w:fill="E3F1E1" w:themeFill="accent4" w:themeFillTint="33"/>
            <w:hideMark/>
          </w:tcPr>
          <w:p w14:paraId="494B7618" w14:textId="035DB450"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6EFE61CA" w14:textId="5FEBEC73"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w:t>
            </w:r>
          </w:p>
        </w:tc>
        <w:tc>
          <w:tcPr>
            <w:tcW w:w="616" w:type="pct"/>
            <w:tcBorders>
              <w:top w:val="single" w:sz="4" w:space="0" w:color="auto"/>
              <w:left w:val="nil"/>
              <w:bottom w:val="nil"/>
              <w:right w:val="nil"/>
            </w:tcBorders>
            <w:shd w:val="clear" w:color="auto" w:fill="E3F1E1" w:themeFill="accent4" w:themeFillTint="33"/>
            <w:hideMark/>
          </w:tcPr>
          <w:p w14:paraId="2FFA71E1" w14:textId="18583AA7"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449,440</w:t>
            </w:r>
          </w:p>
        </w:tc>
        <w:tc>
          <w:tcPr>
            <w:tcW w:w="616" w:type="pct"/>
            <w:tcBorders>
              <w:top w:val="single" w:sz="4" w:space="0" w:color="auto"/>
              <w:left w:val="nil"/>
              <w:bottom w:val="nil"/>
              <w:right w:val="nil"/>
            </w:tcBorders>
            <w:shd w:val="clear" w:color="auto" w:fill="E3F1E1" w:themeFill="accent4" w:themeFillTint="33"/>
            <w:hideMark/>
          </w:tcPr>
          <w:p w14:paraId="35EF8301" w14:textId="28A2D368"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476,406</w:t>
            </w:r>
          </w:p>
        </w:tc>
        <w:tc>
          <w:tcPr>
            <w:tcW w:w="616" w:type="pct"/>
            <w:tcBorders>
              <w:top w:val="single" w:sz="4" w:space="0" w:color="auto"/>
              <w:left w:val="nil"/>
              <w:bottom w:val="nil"/>
              <w:right w:val="nil"/>
            </w:tcBorders>
            <w:shd w:val="clear" w:color="auto" w:fill="E3F1E1" w:themeFill="accent4" w:themeFillTint="33"/>
            <w:hideMark/>
          </w:tcPr>
          <w:p w14:paraId="40819508" w14:textId="7681DFB0"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504,991</w:t>
            </w:r>
          </w:p>
        </w:tc>
        <w:tc>
          <w:tcPr>
            <w:tcW w:w="616" w:type="pct"/>
            <w:tcBorders>
              <w:top w:val="single" w:sz="4" w:space="0" w:color="auto"/>
              <w:left w:val="nil"/>
              <w:bottom w:val="nil"/>
              <w:right w:val="nil"/>
            </w:tcBorders>
            <w:shd w:val="clear" w:color="auto" w:fill="E3F1E1" w:themeFill="accent4" w:themeFillTint="33"/>
            <w:hideMark/>
          </w:tcPr>
          <w:p w14:paraId="463F1B50" w14:textId="3F2D4246" w:rsidR="003B7009" w:rsidRPr="0066493F" w:rsidRDefault="003B7009" w:rsidP="0066493F">
            <w:pPr>
              <w:jc w:val="right"/>
              <w:outlineLvl w:val="0"/>
              <w:rPr>
                <w:rFonts w:asciiTheme="minorHAnsi" w:eastAsia="Times New Roman" w:hAnsiTheme="minorHAnsi"/>
                <w:b/>
                <w:bCs/>
                <w:color w:val="000000"/>
                <w:sz w:val="16"/>
                <w:szCs w:val="16"/>
                <w:lang w:val="en-GB" w:eastAsia="en-GB"/>
              </w:rPr>
            </w:pPr>
            <w:r w:rsidRPr="0066493F">
              <w:rPr>
                <w:rFonts w:asciiTheme="minorHAnsi" w:eastAsia="Times New Roman" w:hAnsiTheme="minorHAnsi"/>
                <w:b/>
                <w:bCs/>
                <w:color w:val="000000"/>
                <w:sz w:val="16"/>
                <w:szCs w:val="16"/>
                <w:lang w:val="en-GB" w:eastAsia="en-GB"/>
              </w:rPr>
              <w:t>1,430,837</w:t>
            </w:r>
          </w:p>
        </w:tc>
      </w:tr>
      <w:tr w:rsidR="003B7009" w:rsidRPr="003B7009" w14:paraId="5174564A" w14:textId="77777777" w:rsidTr="00E57C0E">
        <w:trPr>
          <w:trHeight w:val="20"/>
        </w:trPr>
        <w:tc>
          <w:tcPr>
            <w:tcW w:w="1305" w:type="pct"/>
            <w:tcBorders>
              <w:top w:val="nil"/>
              <w:left w:val="nil"/>
              <w:bottom w:val="nil"/>
              <w:right w:val="nil"/>
            </w:tcBorders>
            <w:shd w:val="clear" w:color="auto" w:fill="auto"/>
            <w:noWrap/>
            <w:hideMark/>
          </w:tcPr>
          <w:p w14:paraId="070CB9BD"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SP - Sickness and disability</w:t>
            </w:r>
          </w:p>
        </w:tc>
        <w:tc>
          <w:tcPr>
            <w:tcW w:w="616" w:type="pct"/>
            <w:tcBorders>
              <w:top w:val="nil"/>
              <w:left w:val="nil"/>
              <w:bottom w:val="nil"/>
              <w:right w:val="nil"/>
            </w:tcBorders>
            <w:shd w:val="clear" w:color="auto" w:fill="auto"/>
            <w:noWrap/>
            <w:hideMark/>
          </w:tcPr>
          <w:p w14:paraId="0E3E4687" w14:textId="308C1CF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6246BBC" w14:textId="7DB7989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E45B1BC" w14:textId="32E2941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2C05A1B" w14:textId="32E00AC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84D8B5B" w14:textId="20F62A1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1E8222F" w14:textId="755209D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C39D928" w14:textId="77777777" w:rsidTr="00E57C0E">
        <w:trPr>
          <w:trHeight w:val="20"/>
        </w:trPr>
        <w:tc>
          <w:tcPr>
            <w:tcW w:w="1305" w:type="pct"/>
            <w:tcBorders>
              <w:top w:val="nil"/>
              <w:left w:val="nil"/>
              <w:bottom w:val="nil"/>
              <w:right w:val="nil"/>
            </w:tcBorders>
            <w:shd w:val="clear" w:color="auto" w:fill="auto"/>
            <w:noWrap/>
            <w:hideMark/>
          </w:tcPr>
          <w:p w14:paraId="771F4054"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 xml:space="preserve">SP - Old age </w:t>
            </w:r>
          </w:p>
        </w:tc>
        <w:tc>
          <w:tcPr>
            <w:tcW w:w="616" w:type="pct"/>
            <w:tcBorders>
              <w:top w:val="nil"/>
              <w:left w:val="nil"/>
              <w:bottom w:val="nil"/>
              <w:right w:val="nil"/>
            </w:tcBorders>
            <w:shd w:val="clear" w:color="auto" w:fill="auto"/>
            <w:noWrap/>
            <w:hideMark/>
          </w:tcPr>
          <w:p w14:paraId="04F3C27E" w14:textId="3620F16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6790583" w14:textId="48A4B58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BD52CBC" w14:textId="5000AA4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C220056" w14:textId="494AA43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F73CD7E" w14:textId="16DBE8E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89F2421" w14:textId="4F7A622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4C432BA9" w14:textId="77777777" w:rsidTr="00E57C0E">
        <w:trPr>
          <w:trHeight w:val="20"/>
        </w:trPr>
        <w:tc>
          <w:tcPr>
            <w:tcW w:w="1305" w:type="pct"/>
            <w:tcBorders>
              <w:top w:val="nil"/>
              <w:left w:val="nil"/>
              <w:bottom w:val="nil"/>
              <w:right w:val="nil"/>
            </w:tcBorders>
            <w:shd w:val="clear" w:color="auto" w:fill="auto"/>
            <w:noWrap/>
            <w:hideMark/>
          </w:tcPr>
          <w:p w14:paraId="024CC534"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SP - Survivors</w:t>
            </w:r>
          </w:p>
        </w:tc>
        <w:tc>
          <w:tcPr>
            <w:tcW w:w="616" w:type="pct"/>
            <w:tcBorders>
              <w:top w:val="nil"/>
              <w:left w:val="nil"/>
              <w:bottom w:val="nil"/>
              <w:right w:val="nil"/>
            </w:tcBorders>
            <w:shd w:val="clear" w:color="auto" w:fill="auto"/>
            <w:noWrap/>
            <w:hideMark/>
          </w:tcPr>
          <w:p w14:paraId="5635FE22" w14:textId="03635D2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0633891" w14:textId="1F507C4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97DF7D5" w14:textId="205B6A90"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099623F" w14:textId="6FAE905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75AE9BE" w14:textId="7642CA3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5C61C93" w14:textId="02ABAE7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709AF125" w14:textId="77777777" w:rsidTr="00E57C0E">
        <w:trPr>
          <w:trHeight w:val="20"/>
        </w:trPr>
        <w:tc>
          <w:tcPr>
            <w:tcW w:w="1305" w:type="pct"/>
            <w:tcBorders>
              <w:top w:val="nil"/>
              <w:left w:val="nil"/>
              <w:bottom w:val="nil"/>
              <w:right w:val="nil"/>
            </w:tcBorders>
            <w:shd w:val="clear" w:color="auto" w:fill="auto"/>
            <w:noWrap/>
            <w:hideMark/>
          </w:tcPr>
          <w:p w14:paraId="47EEE0C4"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 xml:space="preserve">SP - Family and children </w:t>
            </w:r>
          </w:p>
        </w:tc>
        <w:tc>
          <w:tcPr>
            <w:tcW w:w="616" w:type="pct"/>
            <w:tcBorders>
              <w:top w:val="nil"/>
              <w:left w:val="nil"/>
              <w:bottom w:val="nil"/>
              <w:right w:val="nil"/>
            </w:tcBorders>
            <w:shd w:val="clear" w:color="auto" w:fill="auto"/>
            <w:noWrap/>
            <w:hideMark/>
          </w:tcPr>
          <w:p w14:paraId="32318809" w14:textId="079BC92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13C8A07" w14:textId="7FC4AED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A87F054" w14:textId="3020C49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C1BB2C9" w14:textId="58EB369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DA6B4FD" w14:textId="2BA54A6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F7A444C" w14:textId="6CB33ED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60C8D526" w14:textId="77777777" w:rsidTr="00E57C0E">
        <w:trPr>
          <w:trHeight w:val="20"/>
        </w:trPr>
        <w:tc>
          <w:tcPr>
            <w:tcW w:w="1305" w:type="pct"/>
            <w:tcBorders>
              <w:top w:val="nil"/>
              <w:left w:val="nil"/>
              <w:bottom w:val="nil"/>
              <w:right w:val="nil"/>
            </w:tcBorders>
            <w:shd w:val="clear" w:color="auto" w:fill="auto"/>
            <w:noWrap/>
            <w:hideMark/>
          </w:tcPr>
          <w:p w14:paraId="03221AF8"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SP - Unemployment</w:t>
            </w:r>
          </w:p>
        </w:tc>
        <w:tc>
          <w:tcPr>
            <w:tcW w:w="616" w:type="pct"/>
            <w:tcBorders>
              <w:top w:val="nil"/>
              <w:left w:val="nil"/>
              <w:bottom w:val="nil"/>
              <w:right w:val="nil"/>
            </w:tcBorders>
            <w:shd w:val="clear" w:color="auto" w:fill="auto"/>
            <w:noWrap/>
            <w:hideMark/>
          </w:tcPr>
          <w:p w14:paraId="4E715FC1" w14:textId="2791B24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E7349C7" w14:textId="1DD65B7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57E23FE4" w14:textId="52C9394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449,440</w:t>
            </w:r>
          </w:p>
        </w:tc>
        <w:tc>
          <w:tcPr>
            <w:tcW w:w="616" w:type="pct"/>
            <w:tcBorders>
              <w:top w:val="nil"/>
              <w:left w:val="nil"/>
              <w:bottom w:val="nil"/>
              <w:right w:val="nil"/>
            </w:tcBorders>
            <w:shd w:val="clear" w:color="auto" w:fill="auto"/>
            <w:noWrap/>
            <w:hideMark/>
          </w:tcPr>
          <w:p w14:paraId="1DB9FD8C" w14:textId="6DB227B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476,406</w:t>
            </w:r>
          </w:p>
        </w:tc>
        <w:tc>
          <w:tcPr>
            <w:tcW w:w="616" w:type="pct"/>
            <w:tcBorders>
              <w:top w:val="nil"/>
              <w:left w:val="nil"/>
              <w:bottom w:val="nil"/>
              <w:right w:val="nil"/>
            </w:tcBorders>
            <w:shd w:val="clear" w:color="auto" w:fill="auto"/>
            <w:noWrap/>
            <w:hideMark/>
          </w:tcPr>
          <w:p w14:paraId="0340B709" w14:textId="3563988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504,991</w:t>
            </w:r>
          </w:p>
        </w:tc>
        <w:tc>
          <w:tcPr>
            <w:tcW w:w="616" w:type="pct"/>
            <w:tcBorders>
              <w:top w:val="nil"/>
              <w:left w:val="nil"/>
              <w:bottom w:val="nil"/>
              <w:right w:val="nil"/>
            </w:tcBorders>
            <w:shd w:val="clear" w:color="auto" w:fill="auto"/>
            <w:noWrap/>
            <w:hideMark/>
          </w:tcPr>
          <w:p w14:paraId="64BA7935" w14:textId="30C49E8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1,430,837</w:t>
            </w:r>
          </w:p>
        </w:tc>
      </w:tr>
      <w:tr w:rsidR="003B7009" w:rsidRPr="003B7009" w14:paraId="7D0C23C0" w14:textId="77777777" w:rsidTr="00E57C0E">
        <w:trPr>
          <w:trHeight w:val="20"/>
        </w:trPr>
        <w:tc>
          <w:tcPr>
            <w:tcW w:w="1305" w:type="pct"/>
            <w:tcBorders>
              <w:top w:val="nil"/>
              <w:left w:val="nil"/>
              <w:bottom w:val="nil"/>
              <w:right w:val="nil"/>
            </w:tcBorders>
            <w:shd w:val="clear" w:color="auto" w:fill="auto"/>
            <w:noWrap/>
            <w:hideMark/>
          </w:tcPr>
          <w:p w14:paraId="13A5FD0E"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 xml:space="preserve">SP - Housing </w:t>
            </w:r>
          </w:p>
        </w:tc>
        <w:tc>
          <w:tcPr>
            <w:tcW w:w="616" w:type="pct"/>
            <w:tcBorders>
              <w:top w:val="nil"/>
              <w:left w:val="nil"/>
              <w:bottom w:val="nil"/>
              <w:right w:val="nil"/>
            </w:tcBorders>
            <w:shd w:val="clear" w:color="auto" w:fill="auto"/>
            <w:noWrap/>
            <w:hideMark/>
          </w:tcPr>
          <w:p w14:paraId="61E9CB4A" w14:textId="76978C8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128C17A" w14:textId="09653AF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3935F3A" w14:textId="21F8744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77B92236" w14:textId="14FFE5A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462726C" w14:textId="1B2CBE3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FCC5601" w14:textId="506DE89C"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558392CD" w14:textId="77777777" w:rsidTr="00E57C0E">
        <w:trPr>
          <w:trHeight w:val="20"/>
        </w:trPr>
        <w:tc>
          <w:tcPr>
            <w:tcW w:w="1305" w:type="pct"/>
            <w:tcBorders>
              <w:top w:val="nil"/>
              <w:left w:val="nil"/>
              <w:bottom w:val="nil"/>
              <w:right w:val="nil"/>
            </w:tcBorders>
            <w:shd w:val="clear" w:color="auto" w:fill="auto"/>
            <w:noWrap/>
            <w:hideMark/>
          </w:tcPr>
          <w:p w14:paraId="55C47037"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 xml:space="preserve">SP - Social exclusion n.e.c. </w:t>
            </w:r>
          </w:p>
        </w:tc>
        <w:tc>
          <w:tcPr>
            <w:tcW w:w="616" w:type="pct"/>
            <w:tcBorders>
              <w:top w:val="nil"/>
              <w:left w:val="nil"/>
              <w:bottom w:val="nil"/>
              <w:right w:val="nil"/>
            </w:tcBorders>
            <w:shd w:val="clear" w:color="auto" w:fill="auto"/>
            <w:noWrap/>
            <w:hideMark/>
          </w:tcPr>
          <w:p w14:paraId="6C11C45F" w14:textId="23C8B5CA"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00A75AEA" w14:textId="0438891E"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2F5773CA" w14:textId="23C283E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901C960" w14:textId="4656BDB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49747AB" w14:textId="481F47AD"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1AA560E9" w14:textId="0AF9632B"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0615FE20" w14:textId="77777777" w:rsidTr="00E57C0E">
        <w:trPr>
          <w:trHeight w:val="20"/>
        </w:trPr>
        <w:tc>
          <w:tcPr>
            <w:tcW w:w="1305" w:type="pct"/>
            <w:tcBorders>
              <w:top w:val="nil"/>
              <w:left w:val="nil"/>
              <w:bottom w:val="nil"/>
              <w:right w:val="nil"/>
            </w:tcBorders>
            <w:shd w:val="clear" w:color="auto" w:fill="auto"/>
            <w:noWrap/>
            <w:hideMark/>
          </w:tcPr>
          <w:p w14:paraId="33A3993E"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SP - R&amp;D Social protection</w:t>
            </w:r>
          </w:p>
        </w:tc>
        <w:tc>
          <w:tcPr>
            <w:tcW w:w="616" w:type="pct"/>
            <w:tcBorders>
              <w:top w:val="nil"/>
              <w:left w:val="nil"/>
              <w:bottom w:val="nil"/>
              <w:right w:val="nil"/>
            </w:tcBorders>
            <w:shd w:val="clear" w:color="auto" w:fill="auto"/>
            <w:noWrap/>
            <w:hideMark/>
          </w:tcPr>
          <w:p w14:paraId="263AA00A" w14:textId="1F5FDC73"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21A622C" w14:textId="7E2C2D1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934F0DA" w14:textId="4A722E56"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3F089DE2" w14:textId="3D3CF931"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489DB3E7" w14:textId="237BA27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nil"/>
              <w:right w:val="nil"/>
            </w:tcBorders>
            <w:shd w:val="clear" w:color="auto" w:fill="auto"/>
            <w:noWrap/>
            <w:hideMark/>
          </w:tcPr>
          <w:p w14:paraId="650B85B9" w14:textId="6F18B4E9"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r w:rsidR="003B7009" w:rsidRPr="003B7009" w14:paraId="14ADB19E" w14:textId="77777777" w:rsidTr="00E57C0E">
        <w:trPr>
          <w:trHeight w:val="20"/>
        </w:trPr>
        <w:tc>
          <w:tcPr>
            <w:tcW w:w="1305" w:type="pct"/>
            <w:tcBorders>
              <w:top w:val="nil"/>
              <w:left w:val="nil"/>
              <w:bottom w:val="single" w:sz="4" w:space="0" w:color="auto"/>
              <w:right w:val="nil"/>
            </w:tcBorders>
            <w:shd w:val="clear" w:color="auto" w:fill="auto"/>
            <w:noWrap/>
            <w:hideMark/>
          </w:tcPr>
          <w:p w14:paraId="14C2C507" w14:textId="77777777" w:rsidR="003B7009" w:rsidRPr="0066493F" w:rsidRDefault="003B7009" w:rsidP="003B7009">
            <w:pPr>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SP - Social protection n.e.c.</w:t>
            </w:r>
          </w:p>
        </w:tc>
        <w:tc>
          <w:tcPr>
            <w:tcW w:w="616" w:type="pct"/>
            <w:tcBorders>
              <w:top w:val="nil"/>
              <w:left w:val="nil"/>
              <w:bottom w:val="single" w:sz="4" w:space="0" w:color="auto"/>
              <w:right w:val="nil"/>
            </w:tcBorders>
            <w:shd w:val="clear" w:color="auto" w:fill="auto"/>
            <w:noWrap/>
            <w:hideMark/>
          </w:tcPr>
          <w:p w14:paraId="0F0D6840" w14:textId="66A4D594"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single" w:sz="4" w:space="0" w:color="auto"/>
              <w:right w:val="nil"/>
            </w:tcBorders>
            <w:shd w:val="clear" w:color="auto" w:fill="auto"/>
            <w:noWrap/>
            <w:hideMark/>
          </w:tcPr>
          <w:p w14:paraId="10651667" w14:textId="1974B898"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single" w:sz="4" w:space="0" w:color="auto"/>
              <w:right w:val="nil"/>
            </w:tcBorders>
            <w:shd w:val="clear" w:color="auto" w:fill="auto"/>
            <w:noWrap/>
            <w:hideMark/>
          </w:tcPr>
          <w:p w14:paraId="111914E9" w14:textId="2DB379D5"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single" w:sz="4" w:space="0" w:color="auto"/>
              <w:right w:val="nil"/>
            </w:tcBorders>
            <w:shd w:val="clear" w:color="auto" w:fill="auto"/>
            <w:noWrap/>
            <w:hideMark/>
          </w:tcPr>
          <w:p w14:paraId="0A43D78F" w14:textId="3D7245C7"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single" w:sz="4" w:space="0" w:color="auto"/>
              <w:right w:val="nil"/>
            </w:tcBorders>
            <w:shd w:val="clear" w:color="auto" w:fill="auto"/>
            <w:noWrap/>
            <w:hideMark/>
          </w:tcPr>
          <w:p w14:paraId="67B1432B" w14:textId="4D336EFF"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c>
          <w:tcPr>
            <w:tcW w:w="616" w:type="pct"/>
            <w:tcBorders>
              <w:top w:val="nil"/>
              <w:left w:val="nil"/>
              <w:bottom w:val="single" w:sz="4" w:space="0" w:color="auto"/>
              <w:right w:val="nil"/>
            </w:tcBorders>
            <w:shd w:val="clear" w:color="auto" w:fill="auto"/>
            <w:noWrap/>
            <w:hideMark/>
          </w:tcPr>
          <w:p w14:paraId="166AA7A2" w14:textId="4F061D32" w:rsidR="003B7009" w:rsidRPr="0066493F" w:rsidRDefault="003B7009" w:rsidP="0066493F">
            <w:pPr>
              <w:jc w:val="right"/>
              <w:outlineLvl w:val="3"/>
              <w:rPr>
                <w:rFonts w:asciiTheme="minorHAnsi" w:eastAsia="Times New Roman" w:hAnsiTheme="minorHAnsi"/>
                <w:sz w:val="16"/>
                <w:szCs w:val="16"/>
                <w:lang w:val="en-GB" w:eastAsia="en-GB"/>
              </w:rPr>
            </w:pPr>
            <w:r w:rsidRPr="0066493F">
              <w:rPr>
                <w:rFonts w:asciiTheme="minorHAnsi" w:eastAsia="Times New Roman" w:hAnsiTheme="minorHAnsi"/>
                <w:sz w:val="16"/>
                <w:szCs w:val="16"/>
                <w:lang w:val="en-GB" w:eastAsia="en-GB"/>
              </w:rPr>
              <w:t>-</w:t>
            </w:r>
          </w:p>
        </w:tc>
      </w:tr>
    </w:tbl>
    <w:p w14:paraId="3328C369" w14:textId="77777777" w:rsidR="003B7009" w:rsidRDefault="003B7009" w:rsidP="000767C0"/>
    <w:sectPr w:rsidR="003B7009" w:rsidSect="00004C5E">
      <w:pgSz w:w="11900" w:h="16840" w:code="9"/>
      <w:pgMar w:top="1440" w:right="1800" w:bottom="1440" w:left="1800" w:header="720" w:footer="720" w:gutter="0"/>
      <w:cols w:space="720"/>
      <w:titlePg/>
      <w:docGrid w:linePitch="360"/>
      <w:printerSettings r:id="rId5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D5507" w14:textId="77777777" w:rsidR="002634B2" w:rsidRDefault="002634B2">
      <w:r>
        <w:separator/>
      </w:r>
    </w:p>
  </w:endnote>
  <w:endnote w:type="continuationSeparator" w:id="0">
    <w:p w14:paraId="0DF7B08C" w14:textId="77777777" w:rsidR="002634B2" w:rsidRDefault="00263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w:altName w:val="Calibri"/>
    <w:panose1 w:val="00000000000000000000"/>
    <w:charset w:val="00"/>
    <w:family w:val="swiss"/>
    <w:notTrueType/>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707F" w14:textId="77777777" w:rsidR="007B51F8" w:rsidRDefault="007B51F8" w:rsidP="003549F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FA6D2C" w14:textId="77777777" w:rsidR="007B51F8" w:rsidRDefault="007B51F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994E6" w14:textId="5B8D7AF3" w:rsidR="007B51F8" w:rsidRDefault="007B51F8" w:rsidP="003549F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4C5E">
      <w:rPr>
        <w:rStyle w:val="PageNumber"/>
        <w:noProof/>
      </w:rPr>
      <w:t>iii</w:t>
    </w:r>
    <w:r>
      <w:rPr>
        <w:rStyle w:val="PageNumber"/>
      </w:rPr>
      <w:fldChar w:fldCharType="end"/>
    </w:r>
  </w:p>
  <w:p w14:paraId="799C9803" w14:textId="77777777" w:rsidR="007B51F8" w:rsidRDefault="007B51F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38BCF" w14:textId="77777777" w:rsidR="00004C5E" w:rsidRDefault="00004C5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10BF" w14:textId="2904F56B" w:rsidR="007B51F8" w:rsidRDefault="007B51F8" w:rsidP="009F2B8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4C5E">
      <w:rPr>
        <w:rStyle w:val="PageNumber"/>
        <w:noProof/>
      </w:rPr>
      <w:t>61</w:t>
    </w:r>
    <w:r>
      <w:rPr>
        <w:rStyle w:val="PageNumber"/>
      </w:rPr>
      <w:fldChar w:fldCharType="end"/>
    </w:r>
  </w:p>
  <w:p w14:paraId="70947926" w14:textId="77777777" w:rsidR="007B51F8" w:rsidRDefault="007B51F8">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161282"/>
      <w:docPartObj>
        <w:docPartGallery w:val="Page Numbers (Bottom of Page)"/>
        <w:docPartUnique/>
      </w:docPartObj>
    </w:sdtPr>
    <w:sdtEndPr>
      <w:rPr>
        <w:noProof/>
      </w:rPr>
    </w:sdtEndPr>
    <w:sdtContent>
      <w:p w14:paraId="034B54FF" w14:textId="05F74852" w:rsidR="007B51F8" w:rsidRDefault="007B51F8" w:rsidP="002376CE">
        <w:pPr>
          <w:pStyle w:val="Footer"/>
          <w:jc w:val="center"/>
        </w:pPr>
        <w:r>
          <w:fldChar w:fldCharType="begin"/>
        </w:r>
        <w:r>
          <w:instrText xml:space="preserve"> PAGE   \* MERGEFORMAT </w:instrText>
        </w:r>
        <w:r>
          <w:fldChar w:fldCharType="separate"/>
        </w:r>
        <w:r w:rsidR="00004C5E">
          <w:rPr>
            <w:noProof/>
          </w:rPr>
          <w:t>6</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9C106" w14:textId="77777777" w:rsidR="002634B2" w:rsidRDefault="002634B2">
      <w:r>
        <w:separator/>
      </w:r>
    </w:p>
  </w:footnote>
  <w:footnote w:type="continuationSeparator" w:id="0">
    <w:p w14:paraId="77BA1CED" w14:textId="77777777" w:rsidR="002634B2" w:rsidRDefault="002634B2">
      <w:r>
        <w:continuationSeparator/>
      </w:r>
    </w:p>
  </w:footnote>
  <w:footnote w:id="1">
    <w:p w14:paraId="38A9C7F1" w14:textId="2A969859" w:rsidR="007B51F8" w:rsidRPr="00716C46" w:rsidRDefault="007B51F8">
      <w:pPr>
        <w:pStyle w:val="FootnoteText"/>
        <w:rPr>
          <w:lang w:val="en-GB"/>
        </w:rPr>
      </w:pPr>
      <w:r>
        <w:rPr>
          <w:rStyle w:val="FootnoteReference"/>
        </w:rPr>
        <w:footnoteRef/>
      </w:r>
      <w:r>
        <w:t xml:space="preserve"> </w:t>
      </w:r>
      <w:r>
        <w:rPr>
          <w:lang w:val="en-GB"/>
        </w:rPr>
        <w:t>This plan summarises outcomes from team level 5-year rolling plans developed by teams and approved by Directors, DGs and ultimately the Minister for Finance.</w:t>
      </w:r>
    </w:p>
  </w:footnote>
  <w:footnote w:id="2">
    <w:p w14:paraId="521479E2" w14:textId="21D587F6" w:rsidR="007B51F8" w:rsidRPr="00D90BED" w:rsidRDefault="007B51F8">
      <w:pPr>
        <w:pStyle w:val="FootnoteText"/>
        <w:rPr>
          <w:lang w:val="en-GB"/>
        </w:rPr>
      </w:pPr>
      <w:r>
        <w:rPr>
          <w:rStyle w:val="FootnoteReference"/>
        </w:rPr>
        <w:footnoteRef/>
      </w:r>
      <w:r>
        <w:t xml:space="preserve"> </w:t>
      </w:r>
      <w:r w:rsidRPr="00D90BED">
        <w:t>For details on the team based performance framework see the paper “Implementation of the Public Financial Management Roadmap II: Achieving a Performance Culture in a Conflicted Affected Afghanistan” (the implementation strategy paper) produced by the Government in 2015.</w:t>
      </w:r>
    </w:p>
  </w:footnote>
  <w:footnote w:id="3">
    <w:p w14:paraId="523505A5" w14:textId="713FEB6C" w:rsidR="007B51F8" w:rsidRPr="00373C63" w:rsidRDefault="007B51F8">
      <w:pPr>
        <w:pStyle w:val="FootnoteText"/>
        <w:rPr>
          <w:lang w:val="en-GB"/>
        </w:rPr>
      </w:pPr>
      <w:r>
        <w:rPr>
          <w:rStyle w:val="FootnoteReference"/>
        </w:rPr>
        <w:footnoteRef/>
      </w:r>
      <w:r>
        <w:t xml:space="preserve"> In the context of this plan, the Government refers to “risk” as the risk of failure or of not achieving reforms.</w:t>
      </w:r>
    </w:p>
  </w:footnote>
  <w:footnote w:id="4">
    <w:p w14:paraId="3186CAF4" w14:textId="2AEF5B0C" w:rsidR="007B51F8" w:rsidRPr="00B85534" w:rsidRDefault="007B51F8">
      <w:pPr>
        <w:pStyle w:val="FootnoteText"/>
        <w:rPr>
          <w:lang w:val="en-GB"/>
        </w:rPr>
      </w:pPr>
      <w:r>
        <w:rPr>
          <w:rStyle w:val="FootnoteReference"/>
        </w:rPr>
        <w:footnoteRef/>
      </w:r>
      <w:r>
        <w:t xml:space="preserve"> We present </w:t>
      </w:r>
      <w:r>
        <w:rPr>
          <w:lang w:val="en-GB"/>
        </w:rPr>
        <w:t>this framework in more detail in the paper: “Implementation of the PFMRII: Achieving a Performance Culture in a Conflict Affected Afghanistan” (GoIRA, November 2015).</w:t>
      </w:r>
    </w:p>
  </w:footnote>
  <w:footnote w:id="5">
    <w:p w14:paraId="5EDA0A77" w14:textId="77777777" w:rsidR="007B51F8" w:rsidRPr="00D60DF1" w:rsidRDefault="007B51F8" w:rsidP="00257DB1">
      <w:pPr>
        <w:pStyle w:val="FootnoteText"/>
      </w:pPr>
      <w:r>
        <w:rPr>
          <w:rStyle w:val="FootnoteReference"/>
        </w:rPr>
        <w:footnoteRef/>
      </w:r>
      <w:r>
        <w:t xml:space="preserve"> </w:t>
      </w:r>
      <w:r>
        <w:rPr>
          <w:lang w:val="en-GB"/>
        </w:rPr>
        <w:t>GoIRA, 2014, “</w:t>
      </w:r>
      <w:hyperlink r:id="rId1" w:history="1">
        <w:r w:rsidRPr="00D60DF1">
          <w:rPr>
            <w:rStyle w:val="Hyperlink"/>
            <w:rFonts w:asciiTheme="minorHAnsi" w:hAnsiTheme="minorHAnsi" w:cstheme="minorBidi"/>
          </w:rPr>
          <w:t>Realizing Self-Reliance - Commitments to Reforms and Renewed Partnership</w:t>
        </w:r>
      </w:hyperlink>
      <w:r>
        <w:t>” GoIRA, Kabul, Afghanistan.</w:t>
      </w:r>
    </w:p>
    <w:p w14:paraId="6DD05351" w14:textId="77777777" w:rsidR="007B51F8" w:rsidRPr="00C8158E" w:rsidRDefault="007B51F8" w:rsidP="00257DB1">
      <w:pPr>
        <w:pStyle w:val="FootnoteText"/>
        <w:rPr>
          <w:lang w:val="en-GB"/>
        </w:rPr>
      </w:pPr>
    </w:p>
  </w:footnote>
  <w:footnote w:id="6">
    <w:p w14:paraId="55F22424" w14:textId="763D011E" w:rsidR="007B51F8" w:rsidRPr="00804C5C" w:rsidRDefault="007B51F8">
      <w:pPr>
        <w:pStyle w:val="FootnoteText"/>
        <w:rPr>
          <w:lang w:val="en-GB"/>
        </w:rPr>
      </w:pPr>
      <w:r>
        <w:rPr>
          <w:rStyle w:val="FootnoteReference"/>
        </w:rPr>
        <w:footnoteRef/>
      </w:r>
      <w:r>
        <w:t xml:space="preserve"> </w:t>
      </w:r>
      <w:hyperlink r:id="rId2" w:history="1">
        <w:r w:rsidRPr="00AA577A">
          <w:rPr>
            <w:rStyle w:val="Hyperlink"/>
            <w:rFonts w:asciiTheme="minorHAnsi" w:hAnsiTheme="minorHAnsi" w:cstheme="minorBidi"/>
          </w:rPr>
          <w:t>Implementation of the PFMRII: Achieving a Performance Culture in a Conflict Affected Afghanistan</w:t>
        </w:r>
      </w:hyperlink>
      <w:r w:rsidRPr="00804C5C">
        <w:t xml:space="preserve"> </w:t>
      </w:r>
      <w:r>
        <w:t xml:space="preserve">(GoIRA, </w:t>
      </w:r>
      <w:r w:rsidRPr="00804C5C">
        <w:t>November 2015</w:t>
      </w:r>
      <w:r>
        <w:t>)</w:t>
      </w:r>
      <w:r w:rsidRPr="00804C5C">
        <w:t>.</w:t>
      </w:r>
    </w:p>
  </w:footnote>
  <w:footnote w:id="7">
    <w:p w14:paraId="75EDB4C5" w14:textId="77777777" w:rsidR="007B51F8" w:rsidRPr="00AD7BD8" w:rsidRDefault="007B51F8" w:rsidP="001A6FD6">
      <w:pPr>
        <w:pStyle w:val="FootnoteText"/>
        <w:rPr>
          <w:lang w:val="en-GB"/>
        </w:rPr>
      </w:pPr>
      <w:r>
        <w:rPr>
          <w:rStyle w:val="FootnoteReference"/>
        </w:rPr>
        <w:footnoteRef/>
      </w:r>
      <w:r>
        <w:t xml:space="preserve"> </w:t>
      </w:r>
      <w:r>
        <w:rPr>
          <w:lang w:val="en-GB"/>
        </w:rPr>
        <w:t>A</w:t>
      </w:r>
      <w:r w:rsidRPr="00FE5C2E">
        <w:rPr>
          <w:lang w:val="en-GB"/>
        </w:rPr>
        <w:t>s developed and driven by the g7+</w:t>
      </w:r>
      <w:r>
        <w:rPr>
          <w:lang w:val="en-GB"/>
        </w:rPr>
        <w:t xml:space="preserve"> to which Afghanistan is a member. </w:t>
      </w:r>
    </w:p>
  </w:footnote>
  <w:footnote w:id="8">
    <w:p w14:paraId="46DC53B9" w14:textId="77777777" w:rsidR="007B51F8" w:rsidRPr="006053D8" w:rsidRDefault="007B51F8" w:rsidP="00E62493">
      <w:pPr>
        <w:pStyle w:val="FootnoteText"/>
        <w:rPr>
          <w:lang w:val="en-GB"/>
        </w:rPr>
      </w:pPr>
      <w:r>
        <w:rPr>
          <w:rStyle w:val="FootnoteReference"/>
        </w:rPr>
        <w:footnoteRef/>
      </w:r>
      <w:r>
        <w:t xml:space="preserve"> </w:t>
      </w:r>
      <w:r>
        <w:rPr>
          <w:lang w:val="en-GB"/>
        </w:rPr>
        <w:t>Collins Dictionary</w:t>
      </w:r>
      <w:r w:rsidRPr="006053D8">
        <w:t xml:space="preserve"> </w:t>
      </w:r>
      <w:hyperlink r:id="rId3" w:history="1">
        <w:r w:rsidRPr="0063539E">
          <w:rPr>
            <w:rStyle w:val="Hyperlink"/>
            <w:rFonts w:asciiTheme="minorHAnsi" w:hAnsiTheme="minorHAnsi" w:cstheme="minorBidi"/>
            <w:lang w:val="en-GB"/>
          </w:rPr>
          <w:t>http://www.collinsdictionary.com/dictionary/english/rolling-plan</w:t>
        </w:r>
      </w:hyperlink>
      <w:r>
        <w:rPr>
          <w:lang w:val="en-GB"/>
        </w:rPr>
        <w:t xml:space="preserve"> </w:t>
      </w:r>
    </w:p>
  </w:footnote>
  <w:footnote w:id="9">
    <w:p w14:paraId="2BBAF20B" w14:textId="77777777" w:rsidR="007B51F8" w:rsidRPr="007150E4" w:rsidRDefault="007B51F8" w:rsidP="00204B77">
      <w:pPr>
        <w:pStyle w:val="FootnoteText"/>
        <w:rPr>
          <w:rFonts w:cs="Arial"/>
        </w:rPr>
      </w:pPr>
      <w:r w:rsidRPr="007150E4">
        <w:rPr>
          <w:rStyle w:val="FootnoteReference"/>
          <w:rFonts w:cs="Arial"/>
        </w:rPr>
        <w:footnoteRef/>
      </w:r>
      <w:r w:rsidRPr="007150E4">
        <w:rPr>
          <w:rFonts w:cs="Arial"/>
        </w:rPr>
        <w:t xml:space="preserve"> Diamond, 2013, “</w:t>
      </w:r>
      <w:hyperlink r:id="rId4" w:history="1">
        <w:r w:rsidRPr="00AA577A">
          <w:rPr>
            <w:rStyle w:val="Hyperlink"/>
            <w:rFonts w:asciiTheme="minorHAnsi" w:hAnsiTheme="minorHAnsi" w:cs="Arial"/>
          </w:rPr>
          <w:t>Good Practice Note on Sequencing PFM Reforms</w:t>
        </w:r>
      </w:hyperlink>
      <w:r w:rsidRPr="00AA577A">
        <w:rPr>
          <w:rFonts w:cs="Arial"/>
        </w:rPr>
        <w:t xml:space="preserve">”, PEFA Secretariat, Washing DC, USA. A successful team-based performance management has been employed in the MOF in Timor-Leste between 2012 and 2015 with good results. See </w:t>
      </w:r>
      <w:hyperlink r:id="rId5" w:history="1">
        <w:r w:rsidRPr="00AA577A">
          <w:rPr>
            <w:rStyle w:val="Hyperlink"/>
            <w:rFonts w:asciiTheme="minorHAnsi" w:hAnsiTheme="minorHAnsi" w:cs="Arial"/>
          </w:rPr>
          <w:t>www.mof.go.tl</w:t>
        </w:r>
      </w:hyperlink>
      <w:r>
        <w:rPr>
          <w:rFonts w:cs="Arial"/>
        </w:rPr>
        <w:t xml:space="preserve"> </w:t>
      </w:r>
    </w:p>
  </w:footnote>
  <w:footnote w:id="10">
    <w:p w14:paraId="46C63089" w14:textId="77777777" w:rsidR="007B51F8" w:rsidRDefault="007B51F8" w:rsidP="00DE147D">
      <w:pPr>
        <w:pStyle w:val="FootnoteText"/>
      </w:pPr>
      <w:r>
        <w:rPr>
          <w:rStyle w:val="FootnoteReference"/>
        </w:rPr>
        <w:footnoteRef/>
      </w:r>
      <w:r>
        <w:t xml:space="preserve"> OGP</w:t>
      </w:r>
      <w:r w:rsidRPr="00E571B0">
        <w:t xml:space="preserve"> launched in 2011 to provide an international platform for domestic reformers committed to making their governments more open, accountable, and responsive to citizens.  Since then, OGP has grown from 8 countries to 66 participating countries</w:t>
      </w:r>
      <w:r>
        <w:t xml:space="preserve">. More information is at: </w:t>
      </w:r>
      <w:hyperlink r:id="rId6" w:history="1">
        <w:r w:rsidRPr="00B914A6">
          <w:rPr>
            <w:rStyle w:val="Hyperlink"/>
            <w:rFonts w:asciiTheme="minorHAnsi" w:hAnsiTheme="minorHAnsi" w:cstheme="minorBidi"/>
          </w:rPr>
          <w:t>http://www.opengovpartnership.org/</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3B4B7" w14:textId="77777777" w:rsidR="00004C5E" w:rsidRDefault="00004C5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34103" w14:textId="77777777" w:rsidR="00004C5E" w:rsidRDefault="00004C5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FBEE3" w14:textId="3C46D974" w:rsidR="007B51F8" w:rsidRDefault="007B51F8" w:rsidP="0097032A">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7B62F8"/>
    <w:multiLevelType w:val="hybridMultilevel"/>
    <w:tmpl w:val="F9BC6310"/>
    <w:lvl w:ilvl="0" w:tplc="F7BEC83A">
      <w:start w:val="1"/>
      <w:numFmt w:val="decimal"/>
      <w:pStyle w:val="Boxheader"/>
      <w:lvlText w:val="Box %1."/>
      <w:lvlJc w:val="left"/>
      <w:pPr>
        <w:ind w:left="64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18E6DF3"/>
    <w:multiLevelType w:val="hybridMultilevel"/>
    <w:tmpl w:val="7616A2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830D43"/>
    <w:multiLevelType w:val="hybridMultilevel"/>
    <w:tmpl w:val="73E80A98"/>
    <w:lvl w:ilvl="0" w:tplc="DA5809D6">
      <w:start w:val="1"/>
      <w:numFmt w:val="decimal"/>
      <w:pStyle w:val="Numberedpara"/>
      <w:lvlText w:val="%1."/>
      <w:lvlJc w:val="left"/>
      <w:pPr>
        <w:ind w:left="10152"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4B4ABFE2">
      <w:numFmt w:val="bullet"/>
      <w:lvlText w:val=""/>
      <w:lvlJc w:val="left"/>
      <w:pPr>
        <w:ind w:left="3240" w:hanging="360"/>
      </w:pPr>
      <w:rPr>
        <w:rFonts w:ascii="Verdana" w:eastAsiaTheme="minorHAnsi" w:hAnsi="Verdana" w:cstheme="minorBidi" w:hint="default"/>
      </w:rPr>
    </w:lvl>
    <w:lvl w:ilvl="4" w:tplc="B686A4C8">
      <w:start w:val="1"/>
      <w:numFmt w:val="lowerRoman"/>
      <w:lvlText w:val="(%5)"/>
      <w:lvlJc w:val="left"/>
      <w:pPr>
        <w:ind w:left="4320" w:hanging="720"/>
      </w:pPr>
      <w:rPr>
        <w:rFonts w:hint="default"/>
      </w:rPr>
    </w:lvl>
    <w:lvl w:ilvl="5" w:tplc="58DED168">
      <w:start w:val="1"/>
      <w:numFmt w:val="lowerRoman"/>
      <w:lvlText w:val="%6)"/>
      <w:lvlJc w:val="left"/>
      <w:pPr>
        <w:ind w:left="5220" w:hanging="720"/>
      </w:pPr>
      <w:rPr>
        <w:rFonts w:hint="default"/>
      </w:r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F282E2A"/>
    <w:multiLevelType w:val="hybridMultilevel"/>
    <w:tmpl w:val="C7A23266"/>
    <w:lvl w:ilvl="0" w:tplc="0AC4634C">
      <w:numFmt w:val="bullet"/>
      <w:lvlText w:val="-"/>
      <w:lvlJc w:val="left"/>
      <w:pPr>
        <w:ind w:left="702" w:hanging="360"/>
      </w:pPr>
      <w:rPr>
        <w:rFonts w:ascii="Calibri" w:eastAsiaTheme="minorHAnsi" w:hAnsi="Calibri" w:cstheme="minorBidi"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nsid w:val="40DE33B5"/>
    <w:multiLevelType w:val="multilevel"/>
    <w:tmpl w:val="EC9E26A8"/>
    <w:lvl w:ilvl="0">
      <w:start w:val="1"/>
      <w:numFmt w:val="decimal"/>
      <w:pStyle w:val="Figures"/>
      <w:lvlText w:val="Figure %1."/>
      <w:lvlJc w:val="left"/>
      <w:pPr>
        <w:tabs>
          <w:tab w:val="num" w:pos="360"/>
        </w:tabs>
        <w:ind w:left="360" w:hanging="360"/>
      </w:pPr>
      <w:rPr>
        <w:rFonts w:cs="Times New Roman" w:hint="default"/>
      </w:rPr>
    </w:lvl>
    <w:lvl w:ilvl="1">
      <w:start w:val="1"/>
      <w:numFmt w:val="decimal"/>
      <w:pStyle w:val="Figure"/>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nsid w:val="434D2CBB"/>
    <w:multiLevelType w:val="hybridMultilevel"/>
    <w:tmpl w:val="70AAB214"/>
    <w:lvl w:ilvl="0" w:tplc="0AC4634C">
      <w:numFmt w:val="bullet"/>
      <w:lvlText w:val="-"/>
      <w:lvlJc w:val="left"/>
      <w:pPr>
        <w:ind w:left="702"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F60966"/>
    <w:multiLevelType w:val="hybridMultilevel"/>
    <w:tmpl w:val="74348904"/>
    <w:lvl w:ilvl="0" w:tplc="F392B8D8">
      <w:start w:val="1"/>
      <w:numFmt w:val="decimal"/>
      <w:pStyle w:val="TableHeader1"/>
      <w:lvlText w:val="Table %1."/>
      <w:lvlJc w:val="left"/>
      <w:pPr>
        <w:ind w:left="644" w:hanging="360"/>
      </w:pPr>
      <w:rPr>
        <w:b/>
        <w:bCs w:val="0"/>
        <w:i w:val="0"/>
        <w:iCs w:val="0"/>
        <w:caps w:val="0"/>
        <w:smallCaps w:val="0"/>
        <w:strike w:val="0"/>
        <w:dstrike w:val="0"/>
        <w:noProof w:val="0"/>
        <w:vanish w:val="0"/>
        <w:color w:val="F75952"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738AEEE">
      <w:start w:val="1"/>
      <w:numFmt w:val="lowerRoman"/>
      <w:lvlText w:val="%2)"/>
      <w:lvlJc w:val="left"/>
      <w:pPr>
        <w:ind w:left="1440" w:hanging="720"/>
      </w:pPr>
      <w:rPr>
        <w:rFonts w:hint="default"/>
      </w:rPr>
    </w:lvl>
    <w:lvl w:ilvl="2" w:tplc="18090005" w:tentative="1">
      <w:start w:val="1"/>
      <w:numFmt w:val="lowerRoman"/>
      <w:lvlText w:val="%3."/>
      <w:lvlJc w:val="right"/>
      <w:pPr>
        <w:ind w:left="1800" w:hanging="180"/>
      </w:pPr>
    </w:lvl>
    <w:lvl w:ilvl="3" w:tplc="18090001" w:tentative="1">
      <w:start w:val="1"/>
      <w:numFmt w:val="decimal"/>
      <w:lvlText w:val="%4."/>
      <w:lvlJc w:val="left"/>
      <w:pPr>
        <w:ind w:left="2520" w:hanging="360"/>
      </w:pPr>
    </w:lvl>
    <w:lvl w:ilvl="4" w:tplc="18090003" w:tentative="1">
      <w:start w:val="1"/>
      <w:numFmt w:val="lowerLetter"/>
      <w:lvlText w:val="%5."/>
      <w:lvlJc w:val="left"/>
      <w:pPr>
        <w:ind w:left="3240" w:hanging="360"/>
      </w:pPr>
    </w:lvl>
    <w:lvl w:ilvl="5" w:tplc="18090005" w:tentative="1">
      <w:start w:val="1"/>
      <w:numFmt w:val="lowerRoman"/>
      <w:lvlText w:val="%6."/>
      <w:lvlJc w:val="right"/>
      <w:pPr>
        <w:ind w:left="3960" w:hanging="180"/>
      </w:pPr>
    </w:lvl>
    <w:lvl w:ilvl="6" w:tplc="18090001" w:tentative="1">
      <w:start w:val="1"/>
      <w:numFmt w:val="decimal"/>
      <w:lvlText w:val="%7."/>
      <w:lvlJc w:val="left"/>
      <w:pPr>
        <w:ind w:left="4680" w:hanging="360"/>
      </w:pPr>
    </w:lvl>
    <w:lvl w:ilvl="7" w:tplc="18090003" w:tentative="1">
      <w:start w:val="1"/>
      <w:numFmt w:val="lowerLetter"/>
      <w:lvlText w:val="%8."/>
      <w:lvlJc w:val="left"/>
      <w:pPr>
        <w:ind w:left="5400" w:hanging="360"/>
      </w:pPr>
    </w:lvl>
    <w:lvl w:ilvl="8" w:tplc="18090005" w:tentative="1">
      <w:start w:val="1"/>
      <w:numFmt w:val="lowerRoman"/>
      <w:lvlText w:val="%9."/>
      <w:lvlJc w:val="right"/>
      <w:pPr>
        <w:ind w:left="6120" w:hanging="180"/>
      </w:pPr>
    </w:lvl>
  </w:abstractNum>
  <w:abstractNum w:abstractNumId="7">
    <w:nsid w:val="4CB32BEE"/>
    <w:multiLevelType w:val="hybridMultilevel"/>
    <w:tmpl w:val="035E8396"/>
    <w:lvl w:ilvl="0" w:tplc="9C4462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E705E3"/>
    <w:multiLevelType w:val="hybridMultilevel"/>
    <w:tmpl w:val="7BF027F2"/>
    <w:lvl w:ilvl="0" w:tplc="DB5A8CBC">
      <w:start w:val="1"/>
      <w:numFmt w:val="decimal"/>
      <w:pStyle w:val="FigureHeader"/>
      <w:lvlText w:val="Figure %1."/>
      <w:lvlJc w:val="left"/>
      <w:pPr>
        <w:ind w:left="360" w:hanging="360"/>
      </w:pPr>
      <w:rPr>
        <w:b/>
        <w:bCs/>
        <w:i w:val="0"/>
        <w:iCs w:val="0"/>
        <w:caps w:val="0"/>
        <w:smallCaps w:val="0"/>
        <w:strike w:val="0"/>
        <w:dstrike w:val="0"/>
        <w:noProof w:val="0"/>
        <w:vanish w:val="0"/>
        <w:color w:val="F75952"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5A0E05FD"/>
    <w:multiLevelType w:val="hybridMultilevel"/>
    <w:tmpl w:val="D55248CC"/>
    <w:lvl w:ilvl="0" w:tplc="A54E2FD2">
      <w:start w:val="1"/>
      <w:numFmt w:val="decimal"/>
      <w:pStyle w:val="FigureNoattach"/>
      <w:lvlText w:val="Figure 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C515207"/>
    <w:multiLevelType w:val="multilevel"/>
    <w:tmpl w:val="9466A47E"/>
    <w:lvl w:ilvl="0">
      <w:start w:val="1"/>
      <w:numFmt w:val="decimal"/>
      <w:pStyle w:val="Bodyno"/>
      <w:lvlText w:val="%1."/>
      <w:lvlJc w:val="left"/>
      <w:pPr>
        <w:tabs>
          <w:tab w:val="num" w:pos="567"/>
        </w:tabs>
        <w:ind w:left="0" w:firstLine="0"/>
      </w:pPr>
      <w:rPr>
        <w:rFonts w:hint="default"/>
      </w:rPr>
    </w:lvl>
    <w:lvl w:ilvl="1">
      <w:start w:val="1"/>
      <w:numFmt w:val="lowerRoman"/>
      <w:lvlText w:val="%2."/>
      <w:lvlJc w:val="left"/>
      <w:pPr>
        <w:tabs>
          <w:tab w:val="num" w:pos="567"/>
        </w:tabs>
        <w:ind w:left="567" w:hanging="283"/>
      </w:pPr>
      <w:rPr>
        <w:rFonts w:hint="default"/>
      </w:rPr>
    </w:lvl>
    <w:lvl w:ilvl="2">
      <w:start w:val="1"/>
      <w:numFmt w:val="bullet"/>
      <w:lvlText w:val=""/>
      <w:lvlJc w:val="left"/>
      <w:pPr>
        <w:tabs>
          <w:tab w:val="num" w:pos="850"/>
        </w:tabs>
        <w:ind w:left="850" w:hanging="283"/>
      </w:pPr>
      <w:rPr>
        <w:rFonts w:ascii="Symbol" w:hAnsi="Symbol"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12">
    <w:nsid w:val="5F30751B"/>
    <w:multiLevelType w:val="hybridMultilevel"/>
    <w:tmpl w:val="CCFEB094"/>
    <w:lvl w:ilvl="0" w:tplc="A55C4256">
      <w:start w:val="1"/>
      <w:numFmt w:val="bullet"/>
      <w:pStyle w:val="ListBullet"/>
      <w:lvlText w:val=""/>
      <w:lvlJc w:val="left"/>
      <w:pPr>
        <w:ind w:left="72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1D085A"/>
    <w:multiLevelType w:val="multilevel"/>
    <w:tmpl w:val="77F446EC"/>
    <w:lvl w:ilvl="0">
      <w:start w:val="1"/>
      <w:numFmt w:val="decimal"/>
      <w:pStyle w:val="FigureNoHeader"/>
      <w:lvlText w:val="Figure %1."/>
      <w:lvlJc w:val="left"/>
      <w:pPr>
        <w:tabs>
          <w:tab w:val="num" w:pos="720"/>
        </w:tabs>
        <w:ind w:left="720" w:hanging="360"/>
      </w:pPr>
    </w:lvl>
    <w:lvl w:ilvl="1">
      <w:start w:val="1"/>
      <w:numFmt w:val="decimal"/>
      <w:lvlText w:val="Figure %2."/>
      <w:lvlJc w:val="left"/>
      <w:pPr>
        <w:tabs>
          <w:tab w:val="num" w:pos="1080"/>
        </w:tabs>
        <w:ind w:left="1080" w:hanging="360"/>
      </w:pPr>
    </w:lvl>
    <w:lvl w:ilvl="2">
      <w:start w:val="1"/>
      <w:numFmt w:val="decimal"/>
      <w:lvlText w:val="Figure %3."/>
      <w:lvlJc w:val="left"/>
      <w:pPr>
        <w:tabs>
          <w:tab w:val="num" w:pos="1440"/>
        </w:tabs>
        <w:ind w:left="1440" w:hanging="360"/>
      </w:pPr>
    </w:lvl>
    <w:lvl w:ilvl="3">
      <w:start w:val="1"/>
      <w:numFmt w:val="decimal"/>
      <w:lvlText w:val="Figure %4."/>
      <w:lvlJc w:val="left"/>
      <w:pPr>
        <w:tabs>
          <w:tab w:val="num" w:pos="1800"/>
        </w:tabs>
        <w:ind w:left="1800" w:hanging="360"/>
      </w:pPr>
    </w:lvl>
    <w:lvl w:ilvl="4">
      <w:start w:val="1"/>
      <w:numFmt w:val="decimal"/>
      <w:lvlText w:val="Figure %5."/>
      <w:lvlJc w:val="left"/>
      <w:pPr>
        <w:tabs>
          <w:tab w:val="num" w:pos="2160"/>
        </w:tabs>
        <w:ind w:left="2160" w:hanging="360"/>
      </w:pPr>
    </w:lvl>
    <w:lvl w:ilvl="5">
      <w:start w:val="1"/>
      <w:numFmt w:val="decimal"/>
      <w:lvlText w:val="Figure %6."/>
      <w:lvlJc w:val="left"/>
      <w:pPr>
        <w:tabs>
          <w:tab w:val="num" w:pos="2520"/>
        </w:tabs>
        <w:ind w:left="2520" w:hanging="360"/>
      </w:pPr>
    </w:lvl>
    <w:lvl w:ilvl="6">
      <w:start w:val="1"/>
      <w:numFmt w:val="decimal"/>
      <w:lvlText w:val="Figure %7."/>
      <w:lvlJc w:val="left"/>
      <w:pPr>
        <w:tabs>
          <w:tab w:val="num" w:pos="2880"/>
        </w:tabs>
        <w:ind w:left="2880" w:hanging="360"/>
      </w:pPr>
    </w:lvl>
    <w:lvl w:ilvl="7">
      <w:start w:val="1"/>
      <w:numFmt w:val="decimal"/>
      <w:lvlText w:val="Figure %8."/>
      <w:lvlJc w:val="left"/>
      <w:pPr>
        <w:tabs>
          <w:tab w:val="num" w:pos="3240"/>
        </w:tabs>
        <w:ind w:left="3240" w:hanging="360"/>
      </w:pPr>
    </w:lvl>
    <w:lvl w:ilvl="8">
      <w:start w:val="1"/>
      <w:numFmt w:val="decimal"/>
      <w:lvlText w:val="Figure %9."/>
      <w:lvlJc w:val="left"/>
      <w:pPr>
        <w:tabs>
          <w:tab w:val="num" w:pos="3600"/>
        </w:tabs>
        <w:ind w:left="3600" w:hanging="360"/>
      </w:pPr>
    </w:lvl>
  </w:abstractNum>
  <w:abstractNum w:abstractNumId="14">
    <w:nsid w:val="6A1B4DF9"/>
    <w:multiLevelType w:val="multilevel"/>
    <w:tmpl w:val="E50EE2CE"/>
    <w:lvl w:ilvl="0">
      <w:start w:val="1"/>
      <w:numFmt w:val="decimal"/>
      <w:pStyle w:val="Bodytextno"/>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right"/>
      <w:pPr>
        <w:tabs>
          <w:tab w:val="num" w:pos="792"/>
        </w:tabs>
        <w:ind w:left="792" w:hanging="432"/>
      </w:pPr>
      <w:rPr>
        <w:rFonts w:hint="default"/>
      </w:rPr>
    </w:lvl>
    <w:lvl w:ilvl="2">
      <w:start w:val="3"/>
      <w:numFmt w:val="bullet"/>
      <w:lvlText w:val="-"/>
      <w:lvlJc w:val="left"/>
      <w:pPr>
        <w:tabs>
          <w:tab w:val="num" w:pos="1440"/>
        </w:tabs>
        <w:ind w:left="1224" w:hanging="504"/>
      </w:pPr>
      <w:rPr>
        <w:rFonts w:ascii="Times New Roman" w:eastAsia="Times New Roman" w:hAnsi="Times New Roman" w:cs="Times New Roman" w:hint="default"/>
        <w:sz w:val="26"/>
        <w:lang w:val="pl-PL"/>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6BA4392B"/>
    <w:multiLevelType w:val="multilevel"/>
    <w:tmpl w:val="973693B4"/>
    <w:lvl w:ilvl="0">
      <w:start w:val="1"/>
      <w:numFmt w:val="decimal"/>
      <w:pStyle w:val="TableNoHeader"/>
      <w:lvlText w:val="Table %1."/>
      <w:lvlJc w:val="left"/>
      <w:pPr>
        <w:tabs>
          <w:tab w:val="num" w:pos="720"/>
        </w:tabs>
        <w:ind w:left="720" w:hanging="360"/>
      </w:pPr>
      <w:rPr>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Text w:val="Table %2."/>
      <w:lvlJc w:val="left"/>
      <w:pPr>
        <w:tabs>
          <w:tab w:val="num" w:pos="1080"/>
        </w:tabs>
        <w:ind w:left="1080" w:hanging="360"/>
      </w:pPr>
    </w:lvl>
    <w:lvl w:ilvl="2">
      <w:start w:val="1"/>
      <w:numFmt w:val="decimal"/>
      <w:lvlText w:val="Table %3."/>
      <w:lvlJc w:val="left"/>
      <w:pPr>
        <w:tabs>
          <w:tab w:val="num" w:pos="1440"/>
        </w:tabs>
        <w:ind w:left="1440" w:hanging="360"/>
      </w:pPr>
    </w:lvl>
    <w:lvl w:ilvl="3">
      <w:start w:val="1"/>
      <w:numFmt w:val="decimal"/>
      <w:lvlText w:val="Table %4."/>
      <w:lvlJc w:val="left"/>
      <w:pPr>
        <w:tabs>
          <w:tab w:val="num" w:pos="1800"/>
        </w:tabs>
        <w:ind w:left="1800" w:hanging="360"/>
      </w:pPr>
    </w:lvl>
    <w:lvl w:ilvl="4">
      <w:start w:val="1"/>
      <w:numFmt w:val="decimal"/>
      <w:lvlText w:val="Table %5."/>
      <w:lvlJc w:val="left"/>
      <w:pPr>
        <w:tabs>
          <w:tab w:val="num" w:pos="2160"/>
        </w:tabs>
        <w:ind w:left="2160" w:hanging="360"/>
      </w:pPr>
    </w:lvl>
    <w:lvl w:ilvl="5">
      <w:start w:val="1"/>
      <w:numFmt w:val="decimal"/>
      <w:lvlText w:val="Table %6."/>
      <w:lvlJc w:val="left"/>
      <w:pPr>
        <w:tabs>
          <w:tab w:val="num" w:pos="2520"/>
        </w:tabs>
        <w:ind w:left="2520" w:hanging="360"/>
      </w:pPr>
    </w:lvl>
    <w:lvl w:ilvl="6">
      <w:start w:val="1"/>
      <w:numFmt w:val="decimal"/>
      <w:lvlText w:val="Table %7."/>
      <w:lvlJc w:val="left"/>
      <w:pPr>
        <w:tabs>
          <w:tab w:val="num" w:pos="2880"/>
        </w:tabs>
        <w:ind w:left="2880" w:hanging="360"/>
      </w:pPr>
    </w:lvl>
    <w:lvl w:ilvl="7">
      <w:start w:val="1"/>
      <w:numFmt w:val="decimal"/>
      <w:lvlText w:val="Table %8."/>
      <w:lvlJc w:val="left"/>
      <w:pPr>
        <w:tabs>
          <w:tab w:val="num" w:pos="3240"/>
        </w:tabs>
        <w:ind w:left="3240" w:hanging="360"/>
      </w:pPr>
    </w:lvl>
    <w:lvl w:ilvl="8">
      <w:start w:val="1"/>
      <w:numFmt w:val="decimal"/>
      <w:lvlText w:val="Table %9."/>
      <w:lvlJc w:val="left"/>
      <w:pPr>
        <w:tabs>
          <w:tab w:val="num" w:pos="3600"/>
        </w:tabs>
        <w:ind w:left="3600" w:hanging="360"/>
      </w:pPr>
    </w:lvl>
  </w:abstractNum>
  <w:abstractNum w:abstractNumId="16">
    <w:nsid w:val="76A13EF8"/>
    <w:multiLevelType w:val="hybridMultilevel"/>
    <w:tmpl w:val="0568B9C0"/>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8"/>
  </w:num>
  <w:num w:numId="2">
    <w:abstractNumId w:val="0"/>
  </w:num>
  <w:num w:numId="3">
    <w:abstractNumId w:val="11"/>
  </w:num>
  <w:num w:numId="4">
    <w:abstractNumId w:val="2"/>
  </w:num>
  <w:num w:numId="5">
    <w:abstractNumId w:val="6"/>
  </w:num>
  <w:num w:numId="6">
    <w:abstractNumId w:val="9"/>
  </w:num>
  <w:num w:numId="7">
    <w:abstractNumId w:val="14"/>
  </w:num>
  <w:num w:numId="8">
    <w:abstractNumId w:val="4"/>
  </w:num>
  <w:num w:numId="9">
    <w:abstractNumId w:val="10"/>
  </w:num>
  <w:num w:numId="10">
    <w:abstractNumId w:val="12"/>
  </w:num>
  <w:num w:numId="11">
    <w:abstractNumId w:val="13"/>
  </w:num>
  <w:num w:numId="12">
    <w:abstractNumId w:val="15"/>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
  </w:num>
  <w:num w:numId="26">
    <w:abstractNumId w:val="16"/>
  </w:num>
  <w:num w:numId="27">
    <w:abstractNumId w:val="3"/>
  </w:num>
  <w:num w:numId="28">
    <w:abstractNumId w:val="5"/>
  </w:num>
  <w:num w:numId="29">
    <w:abstractNumId w:val="7"/>
  </w:num>
  <w:num w:numId="30">
    <w:abstractNumId w:val="2"/>
  </w:num>
  <w:num w:numId="31">
    <w:abstractNumId w:val="2"/>
  </w:num>
  <w:num w:numId="32">
    <w:abstractNumId w:val="12"/>
  </w:num>
  <w:num w:numId="33">
    <w:abstractNumId w:val="12"/>
  </w:num>
  <w:num w:numId="34">
    <w:abstractNumId w:val="12"/>
  </w:num>
  <w:num w:numId="35">
    <w:abstractNumId w:val="2"/>
  </w:num>
  <w:num w:numId="36">
    <w:abstractNumId w:val="2"/>
  </w:num>
  <w:num w:numId="37">
    <w:abstractNumId w:val="2"/>
  </w:num>
  <w:num w:numId="38">
    <w:abstractNumId w:val="2"/>
  </w:num>
  <w:num w:numId="3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activeWritingStyle w:appName="MSWord" w:lang="en-IE" w:vendorID="64" w:dllVersion="131078" w:nlCheck="1" w:checkStyle="1"/>
  <w:activeWritingStyle w:appName="MSWord" w:lang="en-AU" w:vendorID="64" w:dllVersion="131078" w:nlCheck="1" w:checkStyle="0"/>
  <w:activeWritingStyle w:appName="MSWord" w:lang="fr-FR"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EE1"/>
    <w:rsid w:val="00000A2C"/>
    <w:rsid w:val="00000CE0"/>
    <w:rsid w:val="00001512"/>
    <w:rsid w:val="000018B9"/>
    <w:rsid w:val="00001A74"/>
    <w:rsid w:val="000023F2"/>
    <w:rsid w:val="000025B2"/>
    <w:rsid w:val="00002877"/>
    <w:rsid w:val="00004C5E"/>
    <w:rsid w:val="000103E1"/>
    <w:rsid w:val="000160C3"/>
    <w:rsid w:val="00016BAB"/>
    <w:rsid w:val="00016F94"/>
    <w:rsid w:val="000234C1"/>
    <w:rsid w:val="000261C0"/>
    <w:rsid w:val="00027715"/>
    <w:rsid w:val="00031D41"/>
    <w:rsid w:val="00031D6E"/>
    <w:rsid w:val="0003331B"/>
    <w:rsid w:val="000361F1"/>
    <w:rsid w:val="000366F9"/>
    <w:rsid w:val="00036D8B"/>
    <w:rsid w:val="00036FA1"/>
    <w:rsid w:val="00047C05"/>
    <w:rsid w:val="00047E47"/>
    <w:rsid w:val="00051B59"/>
    <w:rsid w:val="00052EBC"/>
    <w:rsid w:val="000534FD"/>
    <w:rsid w:val="000562CF"/>
    <w:rsid w:val="00057F05"/>
    <w:rsid w:val="00060715"/>
    <w:rsid w:val="00062A03"/>
    <w:rsid w:val="00065C2E"/>
    <w:rsid w:val="00066D73"/>
    <w:rsid w:val="00074D20"/>
    <w:rsid w:val="00075EF1"/>
    <w:rsid w:val="000767C0"/>
    <w:rsid w:val="000771E1"/>
    <w:rsid w:val="00080607"/>
    <w:rsid w:val="00080953"/>
    <w:rsid w:val="00080CDD"/>
    <w:rsid w:val="00080D9E"/>
    <w:rsid w:val="00082AC9"/>
    <w:rsid w:val="00083971"/>
    <w:rsid w:val="00086749"/>
    <w:rsid w:val="000911B7"/>
    <w:rsid w:val="00092BF8"/>
    <w:rsid w:val="0009547D"/>
    <w:rsid w:val="00097B6D"/>
    <w:rsid w:val="000A3185"/>
    <w:rsid w:val="000A32FF"/>
    <w:rsid w:val="000A6895"/>
    <w:rsid w:val="000B0ACD"/>
    <w:rsid w:val="000B1D91"/>
    <w:rsid w:val="000B2463"/>
    <w:rsid w:val="000B36A0"/>
    <w:rsid w:val="000B40F7"/>
    <w:rsid w:val="000B721A"/>
    <w:rsid w:val="000C0F1F"/>
    <w:rsid w:val="000C26DD"/>
    <w:rsid w:val="000C2E60"/>
    <w:rsid w:val="000C3516"/>
    <w:rsid w:val="000C5BF3"/>
    <w:rsid w:val="000C6D9D"/>
    <w:rsid w:val="000D04D3"/>
    <w:rsid w:val="000D17AB"/>
    <w:rsid w:val="000D1C58"/>
    <w:rsid w:val="000E222C"/>
    <w:rsid w:val="000F1A72"/>
    <w:rsid w:val="000F72D5"/>
    <w:rsid w:val="00100D5F"/>
    <w:rsid w:val="0010365D"/>
    <w:rsid w:val="00103DBE"/>
    <w:rsid w:val="00107D1F"/>
    <w:rsid w:val="001155F9"/>
    <w:rsid w:val="00117166"/>
    <w:rsid w:val="001201B6"/>
    <w:rsid w:val="00120582"/>
    <w:rsid w:val="00120AED"/>
    <w:rsid w:val="0012125A"/>
    <w:rsid w:val="0012260F"/>
    <w:rsid w:val="00131359"/>
    <w:rsid w:val="0013217A"/>
    <w:rsid w:val="00132A2F"/>
    <w:rsid w:val="00133C47"/>
    <w:rsid w:val="0013489F"/>
    <w:rsid w:val="00134D03"/>
    <w:rsid w:val="0013601F"/>
    <w:rsid w:val="00137353"/>
    <w:rsid w:val="00137C4F"/>
    <w:rsid w:val="00140BD6"/>
    <w:rsid w:val="001423FB"/>
    <w:rsid w:val="00147F24"/>
    <w:rsid w:val="00150BB3"/>
    <w:rsid w:val="00151F4F"/>
    <w:rsid w:val="00152729"/>
    <w:rsid w:val="00153D4C"/>
    <w:rsid w:val="00155B02"/>
    <w:rsid w:val="001618E5"/>
    <w:rsid w:val="001639E3"/>
    <w:rsid w:val="00164D35"/>
    <w:rsid w:val="00170AEF"/>
    <w:rsid w:val="00173AEE"/>
    <w:rsid w:val="00173D95"/>
    <w:rsid w:val="001749F3"/>
    <w:rsid w:val="00175ABC"/>
    <w:rsid w:val="0017620D"/>
    <w:rsid w:val="001816B5"/>
    <w:rsid w:val="001827F7"/>
    <w:rsid w:val="00185B57"/>
    <w:rsid w:val="001860D0"/>
    <w:rsid w:val="00192550"/>
    <w:rsid w:val="0019291B"/>
    <w:rsid w:val="0019462B"/>
    <w:rsid w:val="00197811"/>
    <w:rsid w:val="001A264E"/>
    <w:rsid w:val="001A63EC"/>
    <w:rsid w:val="001A657C"/>
    <w:rsid w:val="001A6F6F"/>
    <w:rsid w:val="001A6FD6"/>
    <w:rsid w:val="001A750F"/>
    <w:rsid w:val="001A7D59"/>
    <w:rsid w:val="001B1F3C"/>
    <w:rsid w:val="001B3691"/>
    <w:rsid w:val="001B3CBD"/>
    <w:rsid w:val="001C62BE"/>
    <w:rsid w:val="001C684F"/>
    <w:rsid w:val="001D14A8"/>
    <w:rsid w:val="001D22B2"/>
    <w:rsid w:val="001D3AA6"/>
    <w:rsid w:val="001D4056"/>
    <w:rsid w:val="001D4911"/>
    <w:rsid w:val="001E093B"/>
    <w:rsid w:val="001E0B57"/>
    <w:rsid w:val="001E284C"/>
    <w:rsid w:val="00201329"/>
    <w:rsid w:val="00204029"/>
    <w:rsid w:val="00204B77"/>
    <w:rsid w:val="002056B4"/>
    <w:rsid w:val="00207A7A"/>
    <w:rsid w:val="00207EDC"/>
    <w:rsid w:val="002115FC"/>
    <w:rsid w:val="0021295E"/>
    <w:rsid w:val="00212D4C"/>
    <w:rsid w:val="00216923"/>
    <w:rsid w:val="0022227B"/>
    <w:rsid w:val="00224054"/>
    <w:rsid w:val="002249C0"/>
    <w:rsid w:val="00227B7B"/>
    <w:rsid w:val="0023087D"/>
    <w:rsid w:val="00232934"/>
    <w:rsid w:val="00233D94"/>
    <w:rsid w:val="002345F3"/>
    <w:rsid w:val="002361A9"/>
    <w:rsid w:val="002376CE"/>
    <w:rsid w:val="00241943"/>
    <w:rsid w:val="00250720"/>
    <w:rsid w:val="00253700"/>
    <w:rsid w:val="00253BCD"/>
    <w:rsid w:val="00256607"/>
    <w:rsid w:val="00256878"/>
    <w:rsid w:val="00256BDC"/>
    <w:rsid w:val="00257DB1"/>
    <w:rsid w:val="002605C1"/>
    <w:rsid w:val="00260D4D"/>
    <w:rsid w:val="002634B2"/>
    <w:rsid w:val="00263A00"/>
    <w:rsid w:val="00266996"/>
    <w:rsid w:val="00266A1F"/>
    <w:rsid w:val="002718E2"/>
    <w:rsid w:val="002734AF"/>
    <w:rsid w:val="00273B9C"/>
    <w:rsid w:val="00273F6F"/>
    <w:rsid w:val="0027479B"/>
    <w:rsid w:val="00274AC1"/>
    <w:rsid w:val="0028258C"/>
    <w:rsid w:val="00285708"/>
    <w:rsid w:val="0028764F"/>
    <w:rsid w:val="00287A3B"/>
    <w:rsid w:val="002919B1"/>
    <w:rsid w:val="00293364"/>
    <w:rsid w:val="00293BA7"/>
    <w:rsid w:val="00294CF9"/>
    <w:rsid w:val="00296CBA"/>
    <w:rsid w:val="002A0A1E"/>
    <w:rsid w:val="002A1C54"/>
    <w:rsid w:val="002A2A00"/>
    <w:rsid w:val="002A397F"/>
    <w:rsid w:val="002A63B4"/>
    <w:rsid w:val="002A65D2"/>
    <w:rsid w:val="002A7498"/>
    <w:rsid w:val="002B14BB"/>
    <w:rsid w:val="002B54F7"/>
    <w:rsid w:val="002B5F68"/>
    <w:rsid w:val="002C2725"/>
    <w:rsid w:val="002C5886"/>
    <w:rsid w:val="002D17BE"/>
    <w:rsid w:val="002D529D"/>
    <w:rsid w:val="002D5C45"/>
    <w:rsid w:val="002E0E22"/>
    <w:rsid w:val="002E206E"/>
    <w:rsid w:val="002E687B"/>
    <w:rsid w:val="002E75A2"/>
    <w:rsid w:val="002E7A1B"/>
    <w:rsid w:val="002E7BC2"/>
    <w:rsid w:val="002E7E7B"/>
    <w:rsid w:val="002F05B1"/>
    <w:rsid w:val="002F0661"/>
    <w:rsid w:val="002F0E03"/>
    <w:rsid w:val="002F55E6"/>
    <w:rsid w:val="002F7D43"/>
    <w:rsid w:val="003028BC"/>
    <w:rsid w:val="00303150"/>
    <w:rsid w:val="003031CE"/>
    <w:rsid w:val="00304204"/>
    <w:rsid w:val="00306C77"/>
    <w:rsid w:val="003079FF"/>
    <w:rsid w:val="0031053A"/>
    <w:rsid w:val="00311E9A"/>
    <w:rsid w:val="00312880"/>
    <w:rsid w:val="003136A5"/>
    <w:rsid w:val="00314AF5"/>
    <w:rsid w:val="00314E60"/>
    <w:rsid w:val="003157CE"/>
    <w:rsid w:val="00315DA4"/>
    <w:rsid w:val="0031775A"/>
    <w:rsid w:val="00321877"/>
    <w:rsid w:val="00321B93"/>
    <w:rsid w:val="00321E4B"/>
    <w:rsid w:val="00322CB2"/>
    <w:rsid w:val="003233D3"/>
    <w:rsid w:val="003252A8"/>
    <w:rsid w:val="00325C00"/>
    <w:rsid w:val="00327C46"/>
    <w:rsid w:val="00330E31"/>
    <w:rsid w:val="0033344D"/>
    <w:rsid w:val="00333F8B"/>
    <w:rsid w:val="00341916"/>
    <w:rsid w:val="00341D8A"/>
    <w:rsid w:val="003421B3"/>
    <w:rsid w:val="00343B70"/>
    <w:rsid w:val="00344920"/>
    <w:rsid w:val="0034529F"/>
    <w:rsid w:val="003473E4"/>
    <w:rsid w:val="00347DD9"/>
    <w:rsid w:val="00351E3B"/>
    <w:rsid w:val="00352B5D"/>
    <w:rsid w:val="0035328F"/>
    <w:rsid w:val="003549FF"/>
    <w:rsid w:val="0036005B"/>
    <w:rsid w:val="003608C1"/>
    <w:rsid w:val="00361323"/>
    <w:rsid w:val="0036437F"/>
    <w:rsid w:val="00364D6F"/>
    <w:rsid w:val="00366AAD"/>
    <w:rsid w:val="00367596"/>
    <w:rsid w:val="003707FE"/>
    <w:rsid w:val="003733C3"/>
    <w:rsid w:val="00373C63"/>
    <w:rsid w:val="00374541"/>
    <w:rsid w:val="00374CC9"/>
    <w:rsid w:val="003777D5"/>
    <w:rsid w:val="00383E71"/>
    <w:rsid w:val="00384004"/>
    <w:rsid w:val="00385243"/>
    <w:rsid w:val="00385A62"/>
    <w:rsid w:val="0038641F"/>
    <w:rsid w:val="00386C4C"/>
    <w:rsid w:val="003912BB"/>
    <w:rsid w:val="00393049"/>
    <w:rsid w:val="003941CD"/>
    <w:rsid w:val="003961E2"/>
    <w:rsid w:val="003A2FAA"/>
    <w:rsid w:val="003A30EC"/>
    <w:rsid w:val="003A380B"/>
    <w:rsid w:val="003B0779"/>
    <w:rsid w:val="003B6DCD"/>
    <w:rsid w:val="003B7009"/>
    <w:rsid w:val="003B7361"/>
    <w:rsid w:val="003C21A5"/>
    <w:rsid w:val="003C21FD"/>
    <w:rsid w:val="003C5D2D"/>
    <w:rsid w:val="003C5D9B"/>
    <w:rsid w:val="003C648F"/>
    <w:rsid w:val="003C7174"/>
    <w:rsid w:val="003D1353"/>
    <w:rsid w:val="003D3DFE"/>
    <w:rsid w:val="003D4A0D"/>
    <w:rsid w:val="003D5BDE"/>
    <w:rsid w:val="003E0543"/>
    <w:rsid w:val="003E0D29"/>
    <w:rsid w:val="003E19F8"/>
    <w:rsid w:val="003E4189"/>
    <w:rsid w:val="003E78BA"/>
    <w:rsid w:val="003F007A"/>
    <w:rsid w:val="003F5716"/>
    <w:rsid w:val="003F686B"/>
    <w:rsid w:val="003F6B45"/>
    <w:rsid w:val="003F7ED5"/>
    <w:rsid w:val="00407937"/>
    <w:rsid w:val="00411DAF"/>
    <w:rsid w:val="0041237A"/>
    <w:rsid w:val="00412393"/>
    <w:rsid w:val="00415313"/>
    <w:rsid w:val="00416499"/>
    <w:rsid w:val="0041769F"/>
    <w:rsid w:val="00421694"/>
    <w:rsid w:val="00421DA4"/>
    <w:rsid w:val="00424A72"/>
    <w:rsid w:val="00425CB9"/>
    <w:rsid w:val="00427CF5"/>
    <w:rsid w:val="00432B5F"/>
    <w:rsid w:val="0044060C"/>
    <w:rsid w:val="00440D13"/>
    <w:rsid w:val="0044116E"/>
    <w:rsid w:val="004425DF"/>
    <w:rsid w:val="00442EB7"/>
    <w:rsid w:val="00442EDF"/>
    <w:rsid w:val="00452E08"/>
    <w:rsid w:val="0045412A"/>
    <w:rsid w:val="00456BF7"/>
    <w:rsid w:val="00457228"/>
    <w:rsid w:val="004574E3"/>
    <w:rsid w:val="00461AF6"/>
    <w:rsid w:val="004627DE"/>
    <w:rsid w:val="00462F18"/>
    <w:rsid w:val="004678F3"/>
    <w:rsid w:val="004701E1"/>
    <w:rsid w:val="0047231F"/>
    <w:rsid w:val="00472444"/>
    <w:rsid w:val="0047359A"/>
    <w:rsid w:val="00476CDB"/>
    <w:rsid w:val="004777E6"/>
    <w:rsid w:val="00477FD8"/>
    <w:rsid w:val="00480CC8"/>
    <w:rsid w:val="00482D21"/>
    <w:rsid w:val="00486080"/>
    <w:rsid w:val="00487675"/>
    <w:rsid w:val="004961D6"/>
    <w:rsid w:val="004967D6"/>
    <w:rsid w:val="00496ABB"/>
    <w:rsid w:val="004A08AE"/>
    <w:rsid w:val="004A55E8"/>
    <w:rsid w:val="004A5904"/>
    <w:rsid w:val="004A7DDE"/>
    <w:rsid w:val="004B21B4"/>
    <w:rsid w:val="004B36B2"/>
    <w:rsid w:val="004B586D"/>
    <w:rsid w:val="004C3D8A"/>
    <w:rsid w:val="004C6E3A"/>
    <w:rsid w:val="004D3421"/>
    <w:rsid w:val="004E0878"/>
    <w:rsid w:val="004E46A9"/>
    <w:rsid w:val="004E4ED5"/>
    <w:rsid w:val="004E66BE"/>
    <w:rsid w:val="004E7A6D"/>
    <w:rsid w:val="004F1E3E"/>
    <w:rsid w:val="004F1E88"/>
    <w:rsid w:val="004F3795"/>
    <w:rsid w:val="004F66A4"/>
    <w:rsid w:val="004F681B"/>
    <w:rsid w:val="00500863"/>
    <w:rsid w:val="005076E5"/>
    <w:rsid w:val="00507CBF"/>
    <w:rsid w:val="005115EF"/>
    <w:rsid w:val="00511CD9"/>
    <w:rsid w:val="005177B4"/>
    <w:rsid w:val="00517F4B"/>
    <w:rsid w:val="005203BD"/>
    <w:rsid w:val="00521329"/>
    <w:rsid w:val="00522B49"/>
    <w:rsid w:val="005231F4"/>
    <w:rsid w:val="0052459C"/>
    <w:rsid w:val="00524ED4"/>
    <w:rsid w:val="00525C0C"/>
    <w:rsid w:val="005308DA"/>
    <w:rsid w:val="00531A1D"/>
    <w:rsid w:val="0053387A"/>
    <w:rsid w:val="005364F7"/>
    <w:rsid w:val="005375B1"/>
    <w:rsid w:val="005409AE"/>
    <w:rsid w:val="00547570"/>
    <w:rsid w:val="005512F1"/>
    <w:rsid w:val="00552B34"/>
    <w:rsid w:val="0055422E"/>
    <w:rsid w:val="00554B11"/>
    <w:rsid w:val="00560751"/>
    <w:rsid w:val="00561768"/>
    <w:rsid w:val="005622D0"/>
    <w:rsid w:val="00562F27"/>
    <w:rsid w:val="005648F7"/>
    <w:rsid w:val="00564998"/>
    <w:rsid w:val="00565105"/>
    <w:rsid w:val="00565FB3"/>
    <w:rsid w:val="00575DEC"/>
    <w:rsid w:val="00576A95"/>
    <w:rsid w:val="005779AB"/>
    <w:rsid w:val="00577BED"/>
    <w:rsid w:val="0058678E"/>
    <w:rsid w:val="00591079"/>
    <w:rsid w:val="005916E6"/>
    <w:rsid w:val="00591722"/>
    <w:rsid w:val="005928C7"/>
    <w:rsid w:val="00595250"/>
    <w:rsid w:val="00595855"/>
    <w:rsid w:val="005B0155"/>
    <w:rsid w:val="005B0939"/>
    <w:rsid w:val="005B0F5B"/>
    <w:rsid w:val="005B14EF"/>
    <w:rsid w:val="005B2ABE"/>
    <w:rsid w:val="005B2F08"/>
    <w:rsid w:val="005B6EEB"/>
    <w:rsid w:val="005B719A"/>
    <w:rsid w:val="005C49CA"/>
    <w:rsid w:val="005C4C59"/>
    <w:rsid w:val="005C4CAF"/>
    <w:rsid w:val="005C6DE7"/>
    <w:rsid w:val="005C7098"/>
    <w:rsid w:val="005D2359"/>
    <w:rsid w:val="005D37C0"/>
    <w:rsid w:val="005D6644"/>
    <w:rsid w:val="005E5A4D"/>
    <w:rsid w:val="005E7A3A"/>
    <w:rsid w:val="005F4325"/>
    <w:rsid w:val="005F63B7"/>
    <w:rsid w:val="005F6BA9"/>
    <w:rsid w:val="0060373E"/>
    <w:rsid w:val="00603A2D"/>
    <w:rsid w:val="0060452C"/>
    <w:rsid w:val="006053D8"/>
    <w:rsid w:val="006063B9"/>
    <w:rsid w:val="006104F2"/>
    <w:rsid w:val="00611566"/>
    <w:rsid w:val="00617BB3"/>
    <w:rsid w:val="00622CB6"/>
    <w:rsid w:val="0062397D"/>
    <w:rsid w:val="006257D8"/>
    <w:rsid w:val="00627FD6"/>
    <w:rsid w:val="0063476F"/>
    <w:rsid w:val="00635924"/>
    <w:rsid w:val="0063708E"/>
    <w:rsid w:val="00641577"/>
    <w:rsid w:val="00641CAF"/>
    <w:rsid w:val="00647052"/>
    <w:rsid w:val="0065354E"/>
    <w:rsid w:val="0065358F"/>
    <w:rsid w:val="00653619"/>
    <w:rsid w:val="006539ED"/>
    <w:rsid w:val="006569A5"/>
    <w:rsid w:val="00660052"/>
    <w:rsid w:val="00662D07"/>
    <w:rsid w:val="006636DC"/>
    <w:rsid w:val="00664842"/>
    <w:rsid w:val="0066493F"/>
    <w:rsid w:val="006670AC"/>
    <w:rsid w:val="006713DD"/>
    <w:rsid w:val="006723D7"/>
    <w:rsid w:val="006729D7"/>
    <w:rsid w:val="00673A76"/>
    <w:rsid w:val="00673B39"/>
    <w:rsid w:val="00674F5E"/>
    <w:rsid w:val="00676518"/>
    <w:rsid w:val="00676FCA"/>
    <w:rsid w:val="00685DB7"/>
    <w:rsid w:val="00687521"/>
    <w:rsid w:val="006900D0"/>
    <w:rsid w:val="00691156"/>
    <w:rsid w:val="00692643"/>
    <w:rsid w:val="0069358E"/>
    <w:rsid w:val="00694596"/>
    <w:rsid w:val="006948B7"/>
    <w:rsid w:val="00695C2E"/>
    <w:rsid w:val="006979BF"/>
    <w:rsid w:val="006A4596"/>
    <w:rsid w:val="006A7E81"/>
    <w:rsid w:val="006B02BA"/>
    <w:rsid w:val="006B07D1"/>
    <w:rsid w:val="006B1984"/>
    <w:rsid w:val="006B2DFD"/>
    <w:rsid w:val="006B35E2"/>
    <w:rsid w:val="006B407D"/>
    <w:rsid w:val="006B7327"/>
    <w:rsid w:val="006C1950"/>
    <w:rsid w:val="006C1DFF"/>
    <w:rsid w:val="006C2150"/>
    <w:rsid w:val="006C32CF"/>
    <w:rsid w:val="006C4C56"/>
    <w:rsid w:val="006D0F85"/>
    <w:rsid w:val="006D1E96"/>
    <w:rsid w:val="006D2388"/>
    <w:rsid w:val="006D4D40"/>
    <w:rsid w:val="006D5D58"/>
    <w:rsid w:val="006E08FA"/>
    <w:rsid w:val="006E24AC"/>
    <w:rsid w:val="006E381B"/>
    <w:rsid w:val="006E3E2D"/>
    <w:rsid w:val="006E6A15"/>
    <w:rsid w:val="006F0E39"/>
    <w:rsid w:val="006F11CD"/>
    <w:rsid w:val="006F15FA"/>
    <w:rsid w:val="006F1BCA"/>
    <w:rsid w:val="006F3061"/>
    <w:rsid w:val="006F5AC7"/>
    <w:rsid w:val="006F7B47"/>
    <w:rsid w:val="00702C4C"/>
    <w:rsid w:val="007034F9"/>
    <w:rsid w:val="00714B85"/>
    <w:rsid w:val="00716C46"/>
    <w:rsid w:val="00716DE0"/>
    <w:rsid w:val="0072349E"/>
    <w:rsid w:val="00725531"/>
    <w:rsid w:val="0073029F"/>
    <w:rsid w:val="00730569"/>
    <w:rsid w:val="007315C4"/>
    <w:rsid w:val="00733AFE"/>
    <w:rsid w:val="00740844"/>
    <w:rsid w:val="00740D07"/>
    <w:rsid w:val="00742D3C"/>
    <w:rsid w:val="00742E5D"/>
    <w:rsid w:val="007444DE"/>
    <w:rsid w:val="00745E20"/>
    <w:rsid w:val="00746CD3"/>
    <w:rsid w:val="007472D5"/>
    <w:rsid w:val="00747899"/>
    <w:rsid w:val="00751BA3"/>
    <w:rsid w:val="007530B1"/>
    <w:rsid w:val="00753177"/>
    <w:rsid w:val="00757D5C"/>
    <w:rsid w:val="00762B0B"/>
    <w:rsid w:val="0076346C"/>
    <w:rsid w:val="007643C4"/>
    <w:rsid w:val="00764856"/>
    <w:rsid w:val="00765E7B"/>
    <w:rsid w:val="00766BE0"/>
    <w:rsid w:val="00767451"/>
    <w:rsid w:val="00767BE0"/>
    <w:rsid w:val="00770D02"/>
    <w:rsid w:val="007720BC"/>
    <w:rsid w:val="00773928"/>
    <w:rsid w:val="0077483C"/>
    <w:rsid w:val="00774D69"/>
    <w:rsid w:val="00775619"/>
    <w:rsid w:val="00783B8C"/>
    <w:rsid w:val="007843C0"/>
    <w:rsid w:val="007874BB"/>
    <w:rsid w:val="00790767"/>
    <w:rsid w:val="00790A89"/>
    <w:rsid w:val="00791740"/>
    <w:rsid w:val="00792BAE"/>
    <w:rsid w:val="00793CD6"/>
    <w:rsid w:val="00796EE3"/>
    <w:rsid w:val="00797172"/>
    <w:rsid w:val="00797E9C"/>
    <w:rsid w:val="007A0297"/>
    <w:rsid w:val="007A0F6B"/>
    <w:rsid w:val="007A367F"/>
    <w:rsid w:val="007A4920"/>
    <w:rsid w:val="007A4957"/>
    <w:rsid w:val="007A5BF2"/>
    <w:rsid w:val="007A6B56"/>
    <w:rsid w:val="007B076D"/>
    <w:rsid w:val="007B29C1"/>
    <w:rsid w:val="007B3016"/>
    <w:rsid w:val="007B51F8"/>
    <w:rsid w:val="007B5ADE"/>
    <w:rsid w:val="007B73F4"/>
    <w:rsid w:val="007C1844"/>
    <w:rsid w:val="007C27BB"/>
    <w:rsid w:val="007C44F4"/>
    <w:rsid w:val="007C5CD3"/>
    <w:rsid w:val="007C5EF3"/>
    <w:rsid w:val="007C68C0"/>
    <w:rsid w:val="007D29FA"/>
    <w:rsid w:val="007D34A9"/>
    <w:rsid w:val="007D47E0"/>
    <w:rsid w:val="007D66E2"/>
    <w:rsid w:val="007E41C5"/>
    <w:rsid w:val="007E4A48"/>
    <w:rsid w:val="007E76EA"/>
    <w:rsid w:val="007F1A81"/>
    <w:rsid w:val="007F2130"/>
    <w:rsid w:val="007F25B5"/>
    <w:rsid w:val="007F750A"/>
    <w:rsid w:val="007F7E6C"/>
    <w:rsid w:val="00800591"/>
    <w:rsid w:val="008028FA"/>
    <w:rsid w:val="00802D35"/>
    <w:rsid w:val="008041D0"/>
    <w:rsid w:val="00804C5C"/>
    <w:rsid w:val="00806119"/>
    <w:rsid w:val="008140DC"/>
    <w:rsid w:val="008140FE"/>
    <w:rsid w:val="00814308"/>
    <w:rsid w:val="008168A9"/>
    <w:rsid w:val="008168B1"/>
    <w:rsid w:val="008214F8"/>
    <w:rsid w:val="00821F77"/>
    <w:rsid w:val="00822630"/>
    <w:rsid w:val="008249F0"/>
    <w:rsid w:val="00825331"/>
    <w:rsid w:val="0083123B"/>
    <w:rsid w:val="00832077"/>
    <w:rsid w:val="008345EE"/>
    <w:rsid w:val="00836B8D"/>
    <w:rsid w:val="0084067C"/>
    <w:rsid w:val="0084215C"/>
    <w:rsid w:val="00842D3D"/>
    <w:rsid w:val="00847D2E"/>
    <w:rsid w:val="008507CB"/>
    <w:rsid w:val="0085188D"/>
    <w:rsid w:val="00852878"/>
    <w:rsid w:val="00854600"/>
    <w:rsid w:val="0085550B"/>
    <w:rsid w:val="00856AA9"/>
    <w:rsid w:val="00864BBA"/>
    <w:rsid w:val="0086748D"/>
    <w:rsid w:val="00870483"/>
    <w:rsid w:val="00871C60"/>
    <w:rsid w:val="00873AD9"/>
    <w:rsid w:val="00874CB7"/>
    <w:rsid w:val="00874F65"/>
    <w:rsid w:val="00877932"/>
    <w:rsid w:val="00880F62"/>
    <w:rsid w:val="008815F9"/>
    <w:rsid w:val="00881DD1"/>
    <w:rsid w:val="00887CA6"/>
    <w:rsid w:val="00890464"/>
    <w:rsid w:val="008942B5"/>
    <w:rsid w:val="00897458"/>
    <w:rsid w:val="008A5AEB"/>
    <w:rsid w:val="008A64F7"/>
    <w:rsid w:val="008A73C6"/>
    <w:rsid w:val="008A7741"/>
    <w:rsid w:val="008A7BB3"/>
    <w:rsid w:val="008B06EE"/>
    <w:rsid w:val="008B482F"/>
    <w:rsid w:val="008B6588"/>
    <w:rsid w:val="008C26FF"/>
    <w:rsid w:val="008C39A3"/>
    <w:rsid w:val="008C405B"/>
    <w:rsid w:val="008C41A7"/>
    <w:rsid w:val="008C723C"/>
    <w:rsid w:val="008D0FE6"/>
    <w:rsid w:val="008D24F5"/>
    <w:rsid w:val="008D31F6"/>
    <w:rsid w:val="008D40FF"/>
    <w:rsid w:val="008D62D5"/>
    <w:rsid w:val="008D77AF"/>
    <w:rsid w:val="008D7E2D"/>
    <w:rsid w:val="008E0A51"/>
    <w:rsid w:val="008E3684"/>
    <w:rsid w:val="008E389C"/>
    <w:rsid w:val="008F283F"/>
    <w:rsid w:val="008F5CE2"/>
    <w:rsid w:val="008F7B99"/>
    <w:rsid w:val="009047D9"/>
    <w:rsid w:val="0090709D"/>
    <w:rsid w:val="00910E0B"/>
    <w:rsid w:val="00910F93"/>
    <w:rsid w:val="009128DD"/>
    <w:rsid w:val="00912ECA"/>
    <w:rsid w:val="009139ED"/>
    <w:rsid w:val="0091750B"/>
    <w:rsid w:val="00917DAA"/>
    <w:rsid w:val="0092119A"/>
    <w:rsid w:val="00923DDC"/>
    <w:rsid w:val="00924D0E"/>
    <w:rsid w:val="00924E5A"/>
    <w:rsid w:val="009277FC"/>
    <w:rsid w:val="00930F35"/>
    <w:rsid w:val="00931DA2"/>
    <w:rsid w:val="00937988"/>
    <w:rsid w:val="00944063"/>
    <w:rsid w:val="009445D5"/>
    <w:rsid w:val="009519B7"/>
    <w:rsid w:val="009521E9"/>
    <w:rsid w:val="0095262B"/>
    <w:rsid w:val="009530B1"/>
    <w:rsid w:val="0095431B"/>
    <w:rsid w:val="00954E8D"/>
    <w:rsid w:val="009553DE"/>
    <w:rsid w:val="00956E29"/>
    <w:rsid w:val="0097032A"/>
    <w:rsid w:val="00970F03"/>
    <w:rsid w:val="00972713"/>
    <w:rsid w:val="009776B9"/>
    <w:rsid w:val="00980405"/>
    <w:rsid w:val="00980F71"/>
    <w:rsid w:val="009842DD"/>
    <w:rsid w:val="00984675"/>
    <w:rsid w:val="00990B26"/>
    <w:rsid w:val="00993663"/>
    <w:rsid w:val="009A1CAD"/>
    <w:rsid w:val="009A1FEC"/>
    <w:rsid w:val="009A656F"/>
    <w:rsid w:val="009B1C9B"/>
    <w:rsid w:val="009B3702"/>
    <w:rsid w:val="009B497F"/>
    <w:rsid w:val="009C10F9"/>
    <w:rsid w:val="009C4BBA"/>
    <w:rsid w:val="009C505B"/>
    <w:rsid w:val="009C7A50"/>
    <w:rsid w:val="009C7E15"/>
    <w:rsid w:val="009D019C"/>
    <w:rsid w:val="009D0300"/>
    <w:rsid w:val="009D438F"/>
    <w:rsid w:val="009D6974"/>
    <w:rsid w:val="009E176D"/>
    <w:rsid w:val="009E47FD"/>
    <w:rsid w:val="009E6613"/>
    <w:rsid w:val="009E695A"/>
    <w:rsid w:val="009F2738"/>
    <w:rsid w:val="009F2B80"/>
    <w:rsid w:val="009F5DB4"/>
    <w:rsid w:val="009F7376"/>
    <w:rsid w:val="00A01498"/>
    <w:rsid w:val="00A0270F"/>
    <w:rsid w:val="00A07DA5"/>
    <w:rsid w:val="00A153F9"/>
    <w:rsid w:val="00A207CB"/>
    <w:rsid w:val="00A223CE"/>
    <w:rsid w:val="00A22B3C"/>
    <w:rsid w:val="00A262B6"/>
    <w:rsid w:val="00A27C14"/>
    <w:rsid w:val="00A27DD3"/>
    <w:rsid w:val="00A3226E"/>
    <w:rsid w:val="00A324C8"/>
    <w:rsid w:val="00A33BDF"/>
    <w:rsid w:val="00A4039E"/>
    <w:rsid w:val="00A40F11"/>
    <w:rsid w:val="00A41E99"/>
    <w:rsid w:val="00A4642A"/>
    <w:rsid w:val="00A478CD"/>
    <w:rsid w:val="00A53AED"/>
    <w:rsid w:val="00A6071B"/>
    <w:rsid w:val="00A63B3C"/>
    <w:rsid w:val="00A73FF5"/>
    <w:rsid w:val="00A77AA3"/>
    <w:rsid w:val="00A80CE2"/>
    <w:rsid w:val="00A80F7A"/>
    <w:rsid w:val="00A84548"/>
    <w:rsid w:val="00A91D9A"/>
    <w:rsid w:val="00A92DDD"/>
    <w:rsid w:val="00A95D2B"/>
    <w:rsid w:val="00AA40A4"/>
    <w:rsid w:val="00AA4A03"/>
    <w:rsid w:val="00AA577A"/>
    <w:rsid w:val="00AA708F"/>
    <w:rsid w:val="00AB1689"/>
    <w:rsid w:val="00AB6329"/>
    <w:rsid w:val="00AB6F6E"/>
    <w:rsid w:val="00AB78B1"/>
    <w:rsid w:val="00AC3719"/>
    <w:rsid w:val="00AC5984"/>
    <w:rsid w:val="00AC78FB"/>
    <w:rsid w:val="00AD04DE"/>
    <w:rsid w:val="00AD12EE"/>
    <w:rsid w:val="00AD7BD8"/>
    <w:rsid w:val="00AE1EE1"/>
    <w:rsid w:val="00AE44A8"/>
    <w:rsid w:val="00AE4E5C"/>
    <w:rsid w:val="00AE6FF4"/>
    <w:rsid w:val="00AF05CB"/>
    <w:rsid w:val="00AF0D5B"/>
    <w:rsid w:val="00AF3D36"/>
    <w:rsid w:val="00AF45BF"/>
    <w:rsid w:val="00AF4E76"/>
    <w:rsid w:val="00B03FD3"/>
    <w:rsid w:val="00B03FE3"/>
    <w:rsid w:val="00B15C4F"/>
    <w:rsid w:val="00B15EFC"/>
    <w:rsid w:val="00B16398"/>
    <w:rsid w:val="00B22D31"/>
    <w:rsid w:val="00B40BC8"/>
    <w:rsid w:val="00B44E2E"/>
    <w:rsid w:val="00B46FD3"/>
    <w:rsid w:val="00B50F0C"/>
    <w:rsid w:val="00B53391"/>
    <w:rsid w:val="00B53ADE"/>
    <w:rsid w:val="00B53F17"/>
    <w:rsid w:val="00B55B3A"/>
    <w:rsid w:val="00B56EDC"/>
    <w:rsid w:val="00B57DE6"/>
    <w:rsid w:val="00B61938"/>
    <w:rsid w:val="00B6377E"/>
    <w:rsid w:val="00B7098E"/>
    <w:rsid w:val="00B72D56"/>
    <w:rsid w:val="00B72FFD"/>
    <w:rsid w:val="00B7484A"/>
    <w:rsid w:val="00B748C3"/>
    <w:rsid w:val="00B74F45"/>
    <w:rsid w:val="00B773E4"/>
    <w:rsid w:val="00B81CAF"/>
    <w:rsid w:val="00B830CA"/>
    <w:rsid w:val="00B83D10"/>
    <w:rsid w:val="00B840BC"/>
    <w:rsid w:val="00B85534"/>
    <w:rsid w:val="00B86078"/>
    <w:rsid w:val="00B86DDE"/>
    <w:rsid w:val="00B90C07"/>
    <w:rsid w:val="00B925A0"/>
    <w:rsid w:val="00B94C34"/>
    <w:rsid w:val="00B95E74"/>
    <w:rsid w:val="00B96658"/>
    <w:rsid w:val="00B96D43"/>
    <w:rsid w:val="00B976AC"/>
    <w:rsid w:val="00BA35C1"/>
    <w:rsid w:val="00BA5328"/>
    <w:rsid w:val="00BA6D6E"/>
    <w:rsid w:val="00BA77B7"/>
    <w:rsid w:val="00BB28B0"/>
    <w:rsid w:val="00BB2ECE"/>
    <w:rsid w:val="00BC0D12"/>
    <w:rsid w:val="00BC3492"/>
    <w:rsid w:val="00BC3DA1"/>
    <w:rsid w:val="00BC4E2E"/>
    <w:rsid w:val="00BC6952"/>
    <w:rsid w:val="00BD467B"/>
    <w:rsid w:val="00BD62CA"/>
    <w:rsid w:val="00BD69CE"/>
    <w:rsid w:val="00BD7E1B"/>
    <w:rsid w:val="00BE489A"/>
    <w:rsid w:val="00BE4920"/>
    <w:rsid w:val="00BE6106"/>
    <w:rsid w:val="00BE66E8"/>
    <w:rsid w:val="00BE7083"/>
    <w:rsid w:val="00BE71CB"/>
    <w:rsid w:val="00BF0BF5"/>
    <w:rsid w:val="00BF1E4F"/>
    <w:rsid w:val="00BF731E"/>
    <w:rsid w:val="00C038C4"/>
    <w:rsid w:val="00C0477B"/>
    <w:rsid w:val="00C056C1"/>
    <w:rsid w:val="00C101F2"/>
    <w:rsid w:val="00C13724"/>
    <w:rsid w:val="00C161EF"/>
    <w:rsid w:val="00C2080B"/>
    <w:rsid w:val="00C212FC"/>
    <w:rsid w:val="00C2204E"/>
    <w:rsid w:val="00C30C3D"/>
    <w:rsid w:val="00C30E59"/>
    <w:rsid w:val="00C32235"/>
    <w:rsid w:val="00C340C1"/>
    <w:rsid w:val="00C36D7C"/>
    <w:rsid w:val="00C377C3"/>
    <w:rsid w:val="00C37B0A"/>
    <w:rsid w:val="00C41151"/>
    <w:rsid w:val="00C50EE1"/>
    <w:rsid w:val="00C52C34"/>
    <w:rsid w:val="00C52FB8"/>
    <w:rsid w:val="00C55C33"/>
    <w:rsid w:val="00C60919"/>
    <w:rsid w:val="00C60BE0"/>
    <w:rsid w:val="00C62DAC"/>
    <w:rsid w:val="00C62E6A"/>
    <w:rsid w:val="00C6552D"/>
    <w:rsid w:val="00C665D1"/>
    <w:rsid w:val="00C669BB"/>
    <w:rsid w:val="00C675A2"/>
    <w:rsid w:val="00C705DB"/>
    <w:rsid w:val="00C76027"/>
    <w:rsid w:val="00C766DC"/>
    <w:rsid w:val="00C81356"/>
    <w:rsid w:val="00C8158E"/>
    <w:rsid w:val="00C81FFB"/>
    <w:rsid w:val="00C85298"/>
    <w:rsid w:val="00C852D4"/>
    <w:rsid w:val="00C85529"/>
    <w:rsid w:val="00C85F5F"/>
    <w:rsid w:val="00C8650A"/>
    <w:rsid w:val="00C948CF"/>
    <w:rsid w:val="00C95F2D"/>
    <w:rsid w:val="00C97ACF"/>
    <w:rsid w:val="00CA0283"/>
    <w:rsid w:val="00CA268C"/>
    <w:rsid w:val="00CA4981"/>
    <w:rsid w:val="00CA6880"/>
    <w:rsid w:val="00CA701A"/>
    <w:rsid w:val="00CA7C33"/>
    <w:rsid w:val="00CA7DE5"/>
    <w:rsid w:val="00CB62AA"/>
    <w:rsid w:val="00CC030D"/>
    <w:rsid w:val="00CC43AE"/>
    <w:rsid w:val="00CC44D6"/>
    <w:rsid w:val="00CC47DF"/>
    <w:rsid w:val="00CC5E90"/>
    <w:rsid w:val="00CC716F"/>
    <w:rsid w:val="00CD27CC"/>
    <w:rsid w:val="00CD297D"/>
    <w:rsid w:val="00CD67DA"/>
    <w:rsid w:val="00CD680E"/>
    <w:rsid w:val="00CE1039"/>
    <w:rsid w:val="00CE5D05"/>
    <w:rsid w:val="00CE63C1"/>
    <w:rsid w:val="00CF01F0"/>
    <w:rsid w:val="00D050C5"/>
    <w:rsid w:val="00D052E8"/>
    <w:rsid w:val="00D0544F"/>
    <w:rsid w:val="00D06993"/>
    <w:rsid w:val="00D11598"/>
    <w:rsid w:val="00D13363"/>
    <w:rsid w:val="00D15F19"/>
    <w:rsid w:val="00D16327"/>
    <w:rsid w:val="00D1637C"/>
    <w:rsid w:val="00D16705"/>
    <w:rsid w:val="00D20274"/>
    <w:rsid w:val="00D21145"/>
    <w:rsid w:val="00D21B6B"/>
    <w:rsid w:val="00D23D2A"/>
    <w:rsid w:val="00D26AAD"/>
    <w:rsid w:val="00D3061E"/>
    <w:rsid w:val="00D31637"/>
    <w:rsid w:val="00D33BC6"/>
    <w:rsid w:val="00D34085"/>
    <w:rsid w:val="00D34222"/>
    <w:rsid w:val="00D35171"/>
    <w:rsid w:val="00D35AA3"/>
    <w:rsid w:val="00D3681D"/>
    <w:rsid w:val="00D400FE"/>
    <w:rsid w:val="00D40CB8"/>
    <w:rsid w:val="00D4266E"/>
    <w:rsid w:val="00D46F80"/>
    <w:rsid w:val="00D47217"/>
    <w:rsid w:val="00D47A17"/>
    <w:rsid w:val="00D5012B"/>
    <w:rsid w:val="00D51AED"/>
    <w:rsid w:val="00D55861"/>
    <w:rsid w:val="00D5597C"/>
    <w:rsid w:val="00D602C5"/>
    <w:rsid w:val="00D605B2"/>
    <w:rsid w:val="00D60DF1"/>
    <w:rsid w:val="00D61677"/>
    <w:rsid w:val="00D63B3A"/>
    <w:rsid w:val="00D67EE4"/>
    <w:rsid w:val="00D70B79"/>
    <w:rsid w:val="00D734C9"/>
    <w:rsid w:val="00D75608"/>
    <w:rsid w:val="00D7646C"/>
    <w:rsid w:val="00D827C4"/>
    <w:rsid w:val="00D84A88"/>
    <w:rsid w:val="00D85E8D"/>
    <w:rsid w:val="00D90BED"/>
    <w:rsid w:val="00D9146B"/>
    <w:rsid w:val="00D91741"/>
    <w:rsid w:val="00D94E3B"/>
    <w:rsid w:val="00D965A2"/>
    <w:rsid w:val="00D96ED4"/>
    <w:rsid w:val="00DA08F1"/>
    <w:rsid w:val="00DA3FCC"/>
    <w:rsid w:val="00DA761D"/>
    <w:rsid w:val="00DB476D"/>
    <w:rsid w:val="00DB59AF"/>
    <w:rsid w:val="00DB6F45"/>
    <w:rsid w:val="00DC0C3F"/>
    <w:rsid w:val="00DC2852"/>
    <w:rsid w:val="00DC2C37"/>
    <w:rsid w:val="00DC2D24"/>
    <w:rsid w:val="00DC399A"/>
    <w:rsid w:val="00DC64B5"/>
    <w:rsid w:val="00DC73FE"/>
    <w:rsid w:val="00DD4FC6"/>
    <w:rsid w:val="00DD61EA"/>
    <w:rsid w:val="00DD6FAD"/>
    <w:rsid w:val="00DD785A"/>
    <w:rsid w:val="00DE147D"/>
    <w:rsid w:val="00DF08C4"/>
    <w:rsid w:val="00DF09B4"/>
    <w:rsid w:val="00DF2406"/>
    <w:rsid w:val="00DF281A"/>
    <w:rsid w:val="00DF3B91"/>
    <w:rsid w:val="00DF4841"/>
    <w:rsid w:val="00DF4964"/>
    <w:rsid w:val="00DF4BDE"/>
    <w:rsid w:val="00DF4EE0"/>
    <w:rsid w:val="00DF6F46"/>
    <w:rsid w:val="00E04AC5"/>
    <w:rsid w:val="00E07B97"/>
    <w:rsid w:val="00E14F52"/>
    <w:rsid w:val="00E16597"/>
    <w:rsid w:val="00E2198A"/>
    <w:rsid w:val="00E23393"/>
    <w:rsid w:val="00E2423E"/>
    <w:rsid w:val="00E2473B"/>
    <w:rsid w:val="00E24F6F"/>
    <w:rsid w:val="00E278FC"/>
    <w:rsid w:val="00E279ED"/>
    <w:rsid w:val="00E4187A"/>
    <w:rsid w:val="00E4245B"/>
    <w:rsid w:val="00E432CA"/>
    <w:rsid w:val="00E47480"/>
    <w:rsid w:val="00E5031A"/>
    <w:rsid w:val="00E51FC6"/>
    <w:rsid w:val="00E520CA"/>
    <w:rsid w:val="00E55BC6"/>
    <w:rsid w:val="00E560C8"/>
    <w:rsid w:val="00E5660F"/>
    <w:rsid w:val="00E571B0"/>
    <w:rsid w:val="00E57C0E"/>
    <w:rsid w:val="00E6214F"/>
    <w:rsid w:val="00E62493"/>
    <w:rsid w:val="00E64D6A"/>
    <w:rsid w:val="00E67775"/>
    <w:rsid w:val="00E701ED"/>
    <w:rsid w:val="00E7243F"/>
    <w:rsid w:val="00E72F5D"/>
    <w:rsid w:val="00E73A22"/>
    <w:rsid w:val="00E763C7"/>
    <w:rsid w:val="00E77075"/>
    <w:rsid w:val="00E81A67"/>
    <w:rsid w:val="00E83B75"/>
    <w:rsid w:val="00E83C0A"/>
    <w:rsid w:val="00E841CB"/>
    <w:rsid w:val="00E91462"/>
    <w:rsid w:val="00E95169"/>
    <w:rsid w:val="00E9588B"/>
    <w:rsid w:val="00E95A67"/>
    <w:rsid w:val="00E9748A"/>
    <w:rsid w:val="00EA07B7"/>
    <w:rsid w:val="00EA17D9"/>
    <w:rsid w:val="00EA58A6"/>
    <w:rsid w:val="00EB0A3B"/>
    <w:rsid w:val="00EB39EE"/>
    <w:rsid w:val="00EB4D02"/>
    <w:rsid w:val="00EB53BE"/>
    <w:rsid w:val="00EB579B"/>
    <w:rsid w:val="00EB58C4"/>
    <w:rsid w:val="00EB7864"/>
    <w:rsid w:val="00EC1504"/>
    <w:rsid w:val="00EC1B96"/>
    <w:rsid w:val="00EC23C1"/>
    <w:rsid w:val="00EC3DEC"/>
    <w:rsid w:val="00EC4DF7"/>
    <w:rsid w:val="00EC65C8"/>
    <w:rsid w:val="00EC7DED"/>
    <w:rsid w:val="00ED1B93"/>
    <w:rsid w:val="00ED3351"/>
    <w:rsid w:val="00ED3822"/>
    <w:rsid w:val="00ED406B"/>
    <w:rsid w:val="00ED75A4"/>
    <w:rsid w:val="00EE0213"/>
    <w:rsid w:val="00EE042D"/>
    <w:rsid w:val="00EE18AF"/>
    <w:rsid w:val="00EE2AA0"/>
    <w:rsid w:val="00EE2AA3"/>
    <w:rsid w:val="00EE7E06"/>
    <w:rsid w:val="00EF0255"/>
    <w:rsid w:val="00EF12D1"/>
    <w:rsid w:val="00EF23B7"/>
    <w:rsid w:val="00EF6325"/>
    <w:rsid w:val="00EF791B"/>
    <w:rsid w:val="00F05154"/>
    <w:rsid w:val="00F0559A"/>
    <w:rsid w:val="00F06515"/>
    <w:rsid w:val="00F069AA"/>
    <w:rsid w:val="00F07478"/>
    <w:rsid w:val="00F075D4"/>
    <w:rsid w:val="00F1355E"/>
    <w:rsid w:val="00F13FC4"/>
    <w:rsid w:val="00F14397"/>
    <w:rsid w:val="00F14593"/>
    <w:rsid w:val="00F14E0B"/>
    <w:rsid w:val="00F15A43"/>
    <w:rsid w:val="00F15FD9"/>
    <w:rsid w:val="00F16BE9"/>
    <w:rsid w:val="00F17CBD"/>
    <w:rsid w:val="00F17EF8"/>
    <w:rsid w:val="00F225C8"/>
    <w:rsid w:val="00F22D65"/>
    <w:rsid w:val="00F2524C"/>
    <w:rsid w:val="00F31C54"/>
    <w:rsid w:val="00F3332E"/>
    <w:rsid w:val="00F3702C"/>
    <w:rsid w:val="00F37FC4"/>
    <w:rsid w:val="00F44B9A"/>
    <w:rsid w:val="00F46FB5"/>
    <w:rsid w:val="00F47489"/>
    <w:rsid w:val="00F47F80"/>
    <w:rsid w:val="00F51D88"/>
    <w:rsid w:val="00F56622"/>
    <w:rsid w:val="00F60D15"/>
    <w:rsid w:val="00F6383B"/>
    <w:rsid w:val="00F71A5D"/>
    <w:rsid w:val="00F72C11"/>
    <w:rsid w:val="00F72D3E"/>
    <w:rsid w:val="00F7586E"/>
    <w:rsid w:val="00F76C5B"/>
    <w:rsid w:val="00F807EE"/>
    <w:rsid w:val="00F81A32"/>
    <w:rsid w:val="00F83805"/>
    <w:rsid w:val="00F912DF"/>
    <w:rsid w:val="00F95068"/>
    <w:rsid w:val="00F976CB"/>
    <w:rsid w:val="00FA0C21"/>
    <w:rsid w:val="00FA4CD8"/>
    <w:rsid w:val="00FA4DDA"/>
    <w:rsid w:val="00FA5841"/>
    <w:rsid w:val="00FB0F37"/>
    <w:rsid w:val="00FB3EB4"/>
    <w:rsid w:val="00FC0BE7"/>
    <w:rsid w:val="00FC4426"/>
    <w:rsid w:val="00FD4E75"/>
    <w:rsid w:val="00FD612C"/>
    <w:rsid w:val="00FD62E6"/>
    <w:rsid w:val="00FD655A"/>
    <w:rsid w:val="00FD74BA"/>
    <w:rsid w:val="00FD7FF0"/>
    <w:rsid w:val="00FE0489"/>
    <w:rsid w:val="00FE2F49"/>
    <w:rsid w:val="00FE35EA"/>
    <w:rsid w:val="00FE4965"/>
    <w:rsid w:val="00FE560E"/>
    <w:rsid w:val="00FE56E3"/>
    <w:rsid w:val="00FE5C2E"/>
    <w:rsid w:val="00FE5C52"/>
    <w:rsid w:val="00FF1158"/>
    <w:rsid w:val="00FF6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A175F"/>
  <w15:chartTrackingRefBased/>
  <w15:docId w15:val="{1088770A-6520-4511-96D1-5A2B345F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713DD"/>
    <w:pPr>
      <w:spacing w:after="0" w:line="240" w:lineRule="auto"/>
    </w:pPr>
    <w:rPr>
      <w:rFonts w:ascii="Times New Roman" w:hAnsi="Times New Roman" w:cs="Times New Roman"/>
      <w:color w:val="auto"/>
      <w:lang w:eastAsia="en-US"/>
    </w:rPr>
  </w:style>
  <w:style w:type="paragraph" w:styleId="Heading1">
    <w:name w:val="heading 1"/>
    <w:basedOn w:val="Normal"/>
    <w:next w:val="Normal"/>
    <w:link w:val="Heading1Char"/>
    <w:uiPriority w:val="9"/>
    <w:qFormat/>
    <w:rsid w:val="00A262B6"/>
    <w:pPr>
      <w:keepNext/>
      <w:keepLines/>
      <w:spacing w:after="240"/>
      <w:contextualSpacing/>
      <w:outlineLvl w:val="0"/>
    </w:pPr>
    <w:rPr>
      <w:rFonts w:asciiTheme="majorHAnsi" w:eastAsiaTheme="majorEastAsia" w:hAnsiTheme="majorHAnsi" w:cstheme="majorBidi"/>
      <w:b/>
      <w:caps/>
      <w:color w:val="2A2A2A" w:themeColor="text2"/>
      <w:sz w:val="36"/>
      <w:szCs w:val="32"/>
      <w:lang w:val="en-GB" w:eastAsia="ja-JP"/>
    </w:rPr>
  </w:style>
  <w:style w:type="paragraph" w:styleId="Heading2">
    <w:name w:val="heading 2"/>
    <w:basedOn w:val="Normal"/>
    <w:next w:val="Normal"/>
    <w:link w:val="Heading2Char"/>
    <w:uiPriority w:val="9"/>
    <w:unhideWhenUsed/>
    <w:qFormat/>
    <w:rsid w:val="00060715"/>
    <w:pPr>
      <w:keepNext/>
      <w:keepLines/>
      <w:spacing w:before="320" w:after="280"/>
      <w:contextualSpacing/>
      <w:outlineLvl w:val="1"/>
    </w:pPr>
    <w:rPr>
      <w:rFonts w:asciiTheme="majorHAnsi" w:hAnsiTheme="majorHAnsi" w:cstheme="majorBidi"/>
      <w:b/>
      <w:caps/>
      <w:color w:val="4E9747" w:themeColor="accent4" w:themeShade="BF"/>
      <w:sz w:val="28"/>
      <w:szCs w:val="26"/>
      <w:lang w:val="en-GB" w:eastAsia="ja-JP"/>
    </w:rPr>
  </w:style>
  <w:style w:type="paragraph" w:styleId="Heading3">
    <w:name w:val="heading 3"/>
    <w:basedOn w:val="Normal"/>
    <w:next w:val="Normal"/>
    <w:link w:val="Heading3Char"/>
    <w:uiPriority w:val="9"/>
    <w:unhideWhenUsed/>
    <w:qFormat/>
    <w:pPr>
      <w:keepNext/>
      <w:keepLines/>
      <w:spacing w:before="317" w:after="317"/>
      <w:contextualSpacing/>
      <w:outlineLvl w:val="2"/>
    </w:pPr>
    <w:rPr>
      <w:rFonts w:asciiTheme="majorHAnsi" w:eastAsiaTheme="majorEastAsia" w:hAnsiTheme="majorHAnsi" w:cstheme="majorBidi"/>
      <w:b/>
      <w:color w:val="F75952" w:themeColor="accent1"/>
      <w:lang w:eastAsia="ja-JP"/>
    </w:rPr>
  </w:style>
  <w:style w:type="paragraph" w:styleId="Heading4">
    <w:name w:val="heading 4"/>
    <w:basedOn w:val="Normal"/>
    <w:next w:val="Normal"/>
    <w:link w:val="Heading4Char"/>
    <w:uiPriority w:val="9"/>
    <w:unhideWhenUsed/>
    <w:qFormat/>
    <w:rsid w:val="004F1E3E"/>
    <w:pPr>
      <w:keepNext/>
      <w:keepLines/>
      <w:spacing w:before="317" w:after="317"/>
      <w:contextualSpacing/>
      <w:outlineLvl w:val="3"/>
    </w:pPr>
    <w:rPr>
      <w:rFonts w:asciiTheme="majorHAnsi" w:eastAsiaTheme="majorEastAsia" w:hAnsiTheme="majorHAnsi" w:cstheme="majorBidi"/>
      <w:b/>
      <w:i/>
      <w:iCs/>
      <w:color w:val="F75952" w:themeColor="accent1"/>
      <w:lang w:eastAsia="ja-JP"/>
    </w:rPr>
  </w:style>
  <w:style w:type="paragraph" w:styleId="Heading5">
    <w:name w:val="heading 5"/>
    <w:basedOn w:val="Normal"/>
    <w:next w:val="Normal"/>
    <w:link w:val="Heading5Char"/>
    <w:uiPriority w:val="9"/>
    <w:unhideWhenUsed/>
    <w:qFormat/>
    <w:pPr>
      <w:keepNext/>
      <w:keepLines/>
      <w:spacing w:before="317" w:after="317"/>
      <w:outlineLvl w:val="4"/>
    </w:pPr>
    <w:rPr>
      <w:rFonts w:asciiTheme="majorHAnsi" w:eastAsiaTheme="majorEastAsia" w:hAnsiTheme="majorHAnsi" w:cstheme="majorBidi"/>
      <w:b/>
      <w:i/>
      <w:color w:val="5F5F5F" w:themeColor="text2" w:themeTint="BF"/>
      <w:lang w:eastAsia="ja-JP"/>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lang w:eastAsia="ja-JP"/>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2B6"/>
    <w:rPr>
      <w:rFonts w:asciiTheme="majorHAnsi" w:eastAsiaTheme="majorEastAsia" w:hAnsiTheme="majorHAnsi" w:cstheme="majorBidi"/>
      <w:b/>
      <w:caps/>
      <w:color w:val="2A2A2A" w:themeColor="text2"/>
      <w:sz w:val="36"/>
      <w:szCs w:val="32"/>
      <w:lang w:val="en-GB"/>
    </w:rPr>
  </w:style>
  <w:style w:type="character" w:customStyle="1" w:styleId="Heading2Char">
    <w:name w:val="Heading 2 Char"/>
    <w:basedOn w:val="DefaultParagraphFont"/>
    <w:link w:val="Heading2"/>
    <w:uiPriority w:val="9"/>
    <w:rsid w:val="00060715"/>
    <w:rPr>
      <w:rFonts w:asciiTheme="majorHAnsi" w:hAnsiTheme="majorHAnsi" w:cstheme="majorBidi"/>
      <w:b/>
      <w:caps/>
      <w:color w:val="4E9747" w:themeColor="accent4" w:themeShade="BF"/>
      <w:sz w:val="28"/>
      <w:szCs w:val="26"/>
      <w:lang w:val="en-GB"/>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rsid w:val="004F1E3E"/>
    <w:rPr>
      <w:rFonts w:asciiTheme="majorHAnsi" w:eastAsiaTheme="majorEastAsia" w:hAnsiTheme="majorHAnsi" w:cstheme="majorBidi"/>
      <w:b/>
      <w:i/>
      <w:iCs/>
      <w:color w:val="F75952"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paragraph" w:styleId="ListBullet">
    <w:name w:val="List Bullet"/>
    <w:basedOn w:val="Normal"/>
    <w:link w:val="ListBulletChar"/>
    <w:uiPriority w:val="12"/>
    <w:qFormat/>
    <w:rsid w:val="00745E20"/>
    <w:pPr>
      <w:numPr>
        <w:numId w:val="10"/>
      </w:numPr>
      <w:spacing w:after="120"/>
    </w:pPr>
    <w:rPr>
      <w:rFonts w:asciiTheme="minorHAnsi" w:hAnsiTheme="minorHAnsi" w:cstheme="minorBidi"/>
      <w:color w:val="5F5F5F" w:themeColor="text2" w:themeTint="BF"/>
      <w:sz w:val="22"/>
      <w:szCs w:val="20"/>
      <w:lang w:eastAsia="ja-JP"/>
    </w:rPr>
  </w:style>
  <w:style w:type="character" w:customStyle="1" w:styleId="ListBulletChar">
    <w:name w:val="List Bullet Char"/>
    <w:basedOn w:val="DefaultParagraphFont"/>
    <w:link w:val="ListBullet"/>
    <w:uiPriority w:val="12"/>
    <w:rsid w:val="00745E20"/>
    <w:rPr>
      <w:sz w:val="22"/>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rFonts w:asciiTheme="minorHAnsi" w:hAnsiTheme="minorHAnsi" w:cstheme="minorBidi"/>
      <w:b/>
      <w:iCs/>
      <w:color w:val="F75952" w:themeColor="accent1"/>
      <w:sz w:val="54"/>
      <w:lang w:eastAsia="ja-JP"/>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3">
    <w:name w:val="index 3"/>
    <w:basedOn w:val="Normal"/>
    <w:next w:val="Normal"/>
    <w:autoRedefine/>
    <w:uiPriority w:val="99"/>
    <w:semiHidden/>
    <w:unhideWhenUsed/>
    <w:pPr>
      <w:spacing w:before="317" w:after="317"/>
      <w:ind w:left="720" w:hanging="245"/>
      <w:contextualSpacing/>
    </w:pPr>
    <w:rPr>
      <w:rFonts w:asciiTheme="minorHAnsi" w:hAnsiTheme="minorHAnsi" w:cstheme="minorBidi"/>
      <w:b/>
      <w:color w:val="F75952" w:themeColor="accent1"/>
      <w:lang w:eastAsia="ja-JP"/>
    </w:rPr>
  </w:style>
  <w:style w:type="character" w:styleId="Emphasis">
    <w:name w:val="Emphasis"/>
    <w:basedOn w:val="DefaultParagraphFont"/>
    <w:uiPriority w:val="10"/>
    <w:qFormat/>
    <w:rsid w:val="00A262B6"/>
    <w:rPr>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link w:val="ListParagraphChar"/>
    <w:uiPriority w:val="34"/>
    <w:unhideWhenUsed/>
    <w:qFormat/>
    <w:pPr>
      <w:contextualSpacing/>
    </w:pPr>
    <w:rPr>
      <w:rFonts w:asciiTheme="minorHAnsi" w:hAnsiTheme="minorHAnsi" w:cstheme="minorBidi"/>
      <w:i/>
      <w:color w:val="5F5F5F" w:themeColor="text2" w:themeTint="BF"/>
      <w:lang w:eastAsia="ja-JP"/>
    </w:rPr>
  </w:style>
  <w:style w:type="character" w:customStyle="1" w:styleId="ListParagraphChar">
    <w:name w:val="List Paragraph Char"/>
    <w:basedOn w:val="DefaultParagraphFont"/>
    <w:link w:val="ListParagraph"/>
    <w:uiPriority w:val="34"/>
    <w:locked/>
    <w:rsid w:val="00765E7B"/>
    <w:rPr>
      <w:i/>
    </w:rPr>
  </w:style>
  <w:style w:type="paragraph" w:styleId="Caption">
    <w:name w:val="caption"/>
    <w:basedOn w:val="Normal"/>
    <w:next w:val="Normal"/>
    <w:uiPriority w:val="35"/>
    <w:semiHidden/>
    <w:unhideWhenUsed/>
    <w:qFormat/>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rsid w:val="002B5F68"/>
    <w:rPr>
      <w:rFonts w:asciiTheme="minorHAnsi" w:hAnsiTheme="minorHAnsi" w:cstheme="minorBidi"/>
      <w:b/>
      <w:color w:val="F75952" w:themeColor="accent1"/>
      <w:sz w:val="20"/>
      <w:szCs w:val="38"/>
      <w:lang w:eastAsia="ja-JP"/>
    </w:rPr>
  </w:style>
  <w:style w:type="character" w:customStyle="1" w:styleId="FooterChar">
    <w:name w:val="Footer Char"/>
    <w:basedOn w:val="DefaultParagraphFont"/>
    <w:link w:val="Footer"/>
    <w:uiPriority w:val="99"/>
    <w:rsid w:val="002B5F68"/>
    <w:rPr>
      <w:b/>
      <w:color w:val="F75952" w:themeColor="accent1"/>
      <w:sz w:val="20"/>
      <w:szCs w:val="38"/>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contextualSpacing/>
    </w:pPr>
    <w:rPr>
      <w:rFonts w:asciiTheme="majorHAnsi" w:eastAsiaTheme="majorEastAsia" w:hAnsiTheme="majorHAnsi" w:cstheme="majorBidi"/>
      <w:b/>
      <w:caps/>
      <w:color w:val="2A2A2A" w:themeColor="text2"/>
      <w:kern w:val="28"/>
      <w:sz w:val="100"/>
      <w:szCs w:val="56"/>
      <w:lang w:eastAsia="ja-JP"/>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cstheme="minorBidi"/>
      <w:b/>
      <w:color w:val="F75952" w:themeColor="accent1"/>
      <w:sz w:val="50"/>
      <w:szCs w:val="22"/>
      <w:lang w:eastAsia="ja-JP"/>
    </w:rPr>
  </w:style>
  <w:style w:type="paragraph" w:customStyle="1" w:styleId="Author">
    <w:name w:val="Author"/>
    <w:basedOn w:val="Normal"/>
    <w:uiPriority w:val="3"/>
    <w:qFormat/>
    <w:rPr>
      <w:rFonts w:asciiTheme="minorHAnsi" w:hAnsiTheme="minorHAnsi" w:cstheme="minorBidi"/>
      <w:b/>
      <w:color w:val="2A2A2A" w:themeColor="text2"/>
      <w:sz w:val="30"/>
      <w:lang w:eastAsia="ja-JP"/>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TOC1">
    <w:name w:val="toc 1"/>
    <w:basedOn w:val="Normal"/>
    <w:next w:val="Normal"/>
    <w:autoRedefine/>
    <w:uiPriority w:val="39"/>
    <w:unhideWhenUsed/>
    <w:qFormat/>
    <w:rsid w:val="00266996"/>
    <w:pPr>
      <w:tabs>
        <w:tab w:val="right" w:leader="dot" w:pos="8630"/>
      </w:tabs>
      <w:spacing w:before="240" w:after="120"/>
    </w:pPr>
    <w:rPr>
      <w:rFonts w:asciiTheme="majorHAnsi" w:hAnsiTheme="majorHAnsi" w:cstheme="minorBidi"/>
      <w:b/>
      <w:bCs/>
      <w:caps/>
      <w:color w:val="2A2A2A" w:themeColor="text2"/>
      <w:sz w:val="28"/>
      <w:lang w:eastAsia="ja-JP"/>
    </w:rPr>
  </w:style>
  <w:style w:type="paragraph" w:styleId="TOC2">
    <w:name w:val="toc 2"/>
    <w:basedOn w:val="Normal"/>
    <w:next w:val="Normal"/>
    <w:autoRedefine/>
    <w:uiPriority w:val="39"/>
    <w:unhideWhenUsed/>
    <w:qFormat/>
    <w:rsid w:val="00097B6D"/>
    <w:pPr>
      <w:tabs>
        <w:tab w:val="right" w:leader="dot" w:pos="8630"/>
      </w:tabs>
      <w:spacing w:before="120"/>
    </w:pPr>
    <w:rPr>
      <w:rFonts w:asciiTheme="minorHAnsi" w:hAnsiTheme="minorHAnsi" w:cstheme="minorBidi"/>
      <w:b/>
      <w:bCs/>
      <w:noProof/>
      <w:color w:val="5F5F5F" w:themeColor="text2" w:themeTint="BF"/>
      <w:szCs w:val="20"/>
      <w:lang w:val="en-GB" w:eastAsia="ja-JP"/>
    </w:rPr>
  </w:style>
  <w:style w:type="table" w:customStyle="1" w:styleId="Generaltable">
    <w:name w:val="General table"/>
    <w:basedOn w:val="TableNormal"/>
    <w:uiPriority w:val="9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styleId="Header">
    <w:name w:val="header"/>
    <w:basedOn w:val="Normal"/>
    <w:link w:val="HeaderChar"/>
    <w:uiPriority w:val="99"/>
    <w:unhideWhenUsed/>
    <w:qFormat/>
    <w:rPr>
      <w:rFonts w:asciiTheme="minorHAnsi" w:hAnsiTheme="minorHAnsi" w:cstheme="minorBidi"/>
      <w:color w:val="5F5F5F" w:themeColor="text2" w:themeTint="BF"/>
      <w:lang w:eastAsia="ja-JP"/>
    </w:r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
      </w:numPr>
    </w:pPr>
    <w:rPr>
      <w:rFonts w:asciiTheme="minorHAnsi" w:hAnsiTheme="minorHAnsi" w:cstheme="minorBidi"/>
      <w:i/>
      <w:color w:val="5F5F5F" w:themeColor="text2" w:themeTint="BF"/>
      <w:lang w:eastAsia="ja-JP"/>
    </w:rPr>
  </w:style>
  <w:style w:type="paragraph" w:customStyle="1" w:styleId="Numberedpara">
    <w:name w:val="Numbered para"/>
    <w:basedOn w:val="ListParagraph"/>
    <w:qFormat/>
    <w:rsid w:val="00EC65C8"/>
    <w:pPr>
      <w:numPr>
        <w:numId w:val="4"/>
      </w:numPr>
      <w:spacing w:before="120" w:after="120"/>
      <w:ind w:left="360"/>
      <w:contextualSpacing w:val="0"/>
      <w:jc w:val="both"/>
    </w:pPr>
    <w:rPr>
      <w:i w:val="0"/>
      <w:sz w:val="22"/>
      <w:lang w:val="en-GB"/>
    </w:rPr>
  </w:style>
  <w:style w:type="paragraph" w:styleId="TOC3">
    <w:name w:val="toc 3"/>
    <w:basedOn w:val="Normal"/>
    <w:next w:val="Normal"/>
    <w:autoRedefine/>
    <w:uiPriority w:val="39"/>
    <w:unhideWhenUsed/>
    <w:rsid w:val="00097B6D"/>
    <w:pPr>
      <w:tabs>
        <w:tab w:val="right" w:leader="dot" w:pos="8630"/>
      </w:tabs>
      <w:spacing w:after="100"/>
      <w:ind w:left="482"/>
    </w:pPr>
    <w:rPr>
      <w:rFonts w:asciiTheme="minorHAnsi" w:hAnsiTheme="minorHAnsi" w:cstheme="minorBidi"/>
      <w:noProof/>
      <w:color w:val="5F5F5F" w:themeColor="text2" w:themeTint="BF"/>
      <w:sz w:val="22"/>
      <w:lang w:val="en-GB" w:eastAsia="ja-JP"/>
    </w:rPr>
  </w:style>
  <w:style w:type="paragraph" w:customStyle="1" w:styleId="Bodyno">
    <w:name w:val="Body no"/>
    <w:basedOn w:val="Normal"/>
    <w:qFormat/>
    <w:rsid w:val="00330E31"/>
    <w:pPr>
      <w:numPr>
        <w:numId w:val="3"/>
      </w:numPr>
      <w:shd w:val="clear" w:color="auto" w:fill="FFFFFF"/>
      <w:tabs>
        <w:tab w:val="left" w:pos="630"/>
      </w:tabs>
      <w:spacing w:before="240" w:after="240"/>
      <w:jc w:val="both"/>
    </w:pPr>
    <w:rPr>
      <w:rFonts w:ascii="Baskerville" w:eastAsia="Arial Unicode MS" w:hAnsi="Baskerville" w:cs="Arial Unicode MS"/>
      <w:color w:val="000000"/>
      <w:lang w:val="en-GB" w:eastAsia="zh-CN" w:bidi="hi-IN"/>
    </w:rPr>
  </w:style>
  <w:style w:type="paragraph" w:styleId="EndnoteText">
    <w:name w:val="endnote text"/>
    <w:basedOn w:val="Normal"/>
    <w:link w:val="EndnoteTextChar"/>
    <w:unhideWhenUsed/>
    <w:rsid w:val="00330E31"/>
    <w:rPr>
      <w:rFonts w:asciiTheme="minorHAnsi" w:hAnsiTheme="minorHAnsi" w:cstheme="minorBidi"/>
      <w:sz w:val="20"/>
      <w:szCs w:val="20"/>
    </w:rPr>
  </w:style>
  <w:style w:type="character" w:customStyle="1" w:styleId="EndnoteTextChar">
    <w:name w:val="Endnote Text Char"/>
    <w:basedOn w:val="DefaultParagraphFont"/>
    <w:link w:val="EndnoteText"/>
    <w:rsid w:val="00330E31"/>
    <w:rPr>
      <w:color w:val="auto"/>
      <w:sz w:val="20"/>
      <w:szCs w:val="20"/>
      <w:lang w:eastAsia="en-US"/>
    </w:rPr>
  </w:style>
  <w:style w:type="character" w:styleId="EndnoteReference">
    <w:name w:val="endnote reference"/>
    <w:basedOn w:val="DefaultParagraphFont"/>
    <w:unhideWhenUsed/>
    <w:rsid w:val="00330E31"/>
    <w:rPr>
      <w:vertAlign w:val="superscript"/>
    </w:rPr>
  </w:style>
  <w:style w:type="character" w:styleId="Hyperlink">
    <w:name w:val="Hyperlink"/>
    <w:basedOn w:val="DefaultParagraphFont"/>
    <w:uiPriority w:val="99"/>
    <w:unhideWhenUsed/>
    <w:rsid w:val="00330E31"/>
    <w:rPr>
      <w:rFonts w:ascii="Times New Roman" w:hAnsi="Times New Roman" w:cs="Times New Roman" w:hint="default"/>
      <w:color w:val="0000FF"/>
      <w:u w:val="single"/>
    </w:rPr>
  </w:style>
  <w:style w:type="paragraph" w:customStyle="1" w:styleId="Boxheader">
    <w:name w:val="Box header"/>
    <w:basedOn w:val="Normal"/>
    <w:link w:val="BoxheaderChar"/>
    <w:autoRedefine/>
    <w:qFormat/>
    <w:rsid w:val="00EC65C8"/>
    <w:pPr>
      <w:numPr>
        <w:numId w:val="2"/>
      </w:numPr>
      <w:pBdr>
        <w:top w:val="single" w:sz="4" w:space="1" w:color="auto"/>
        <w:left w:val="single" w:sz="4" w:space="4" w:color="auto"/>
        <w:bottom w:val="single" w:sz="4" w:space="1" w:color="auto"/>
        <w:right w:val="single" w:sz="4" w:space="4" w:color="auto"/>
      </w:pBdr>
      <w:shd w:val="clear" w:color="auto" w:fill="C7E3C4" w:themeFill="accent4" w:themeFillTint="66"/>
      <w:ind w:left="720" w:hanging="720"/>
      <w:jc w:val="center"/>
    </w:pPr>
    <w:rPr>
      <w:rFonts w:ascii="Calibri" w:eastAsia="Times New Roman" w:hAnsi="Calibri" w:cs="Calibri"/>
      <w:b/>
      <w:bCs/>
      <w:noProof/>
      <w:lang w:val="en-AU" w:eastAsia="en-AU"/>
    </w:rPr>
  </w:style>
  <w:style w:type="character" w:customStyle="1" w:styleId="BoxheaderChar">
    <w:name w:val="Box header Char"/>
    <w:link w:val="Boxheader"/>
    <w:rsid w:val="00EC65C8"/>
    <w:rPr>
      <w:rFonts w:ascii="Calibri" w:eastAsia="Times New Roman" w:hAnsi="Calibri" w:cs="Calibri"/>
      <w:b/>
      <w:bCs/>
      <w:noProof/>
      <w:color w:val="auto"/>
      <w:shd w:val="clear" w:color="auto" w:fill="C7E3C4" w:themeFill="accent4" w:themeFillTint="66"/>
      <w:lang w:val="en-AU" w:eastAsia="en-AU"/>
    </w:rPr>
  </w:style>
  <w:style w:type="character" w:customStyle="1" w:styleId="TableHeader1Char">
    <w:name w:val="Table Header 1 Char"/>
    <w:link w:val="TableHeader1"/>
    <w:locked/>
    <w:rsid w:val="00DE147D"/>
    <w:rPr>
      <w:rFonts w:ascii="Arial" w:hAnsi="Arial"/>
      <w:b/>
      <w:bCs/>
      <w:iCs/>
      <w:szCs w:val="28"/>
      <w:lang w:val="en-GB" w:eastAsia="en-IE"/>
    </w:rPr>
  </w:style>
  <w:style w:type="paragraph" w:customStyle="1" w:styleId="TableHeader1">
    <w:name w:val="Table Header 1"/>
    <w:basedOn w:val="Normal"/>
    <w:link w:val="TableHeader1Char"/>
    <w:autoRedefine/>
    <w:qFormat/>
    <w:rsid w:val="00DE147D"/>
    <w:pPr>
      <w:keepNext/>
      <w:numPr>
        <w:numId w:val="5"/>
      </w:numPr>
      <w:tabs>
        <w:tab w:val="left" w:pos="1134"/>
      </w:tabs>
      <w:spacing w:before="240" w:after="60"/>
      <w:ind w:left="357" w:hanging="357"/>
      <w:outlineLvl w:val="1"/>
    </w:pPr>
    <w:rPr>
      <w:rFonts w:ascii="Arial" w:hAnsi="Arial" w:cstheme="minorBidi"/>
      <w:b/>
      <w:bCs/>
      <w:iCs/>
      <w:color w:val="5F5F5F" w:themeColor="text2" w:themeTint="BF"/>
      <w:szCs w:val="28"/>
      <w:lang w:val="en-GB" w:eastAsia="en-IE"/>
    </w:rPr>
  </w:style>
  <w:style w:type="character" w:customStyle="1" w:styleId="FigureHeaderChar">
    <w:name w:val="Figure Header Char"/>
    <w:link w:val="FigureHeader"/>
    <w:uiPriority w:val="99"/>
    <w:locked/>
    <w:rsid w:val="00FE5C2E"/>
    <w:rPr>
      <w:rFonts w:ascii="Arial" w:hAnsi="Arial" w:cs="Arial"/>
      <w:b/>
    </w:rPr>
  </w:style>
  <w:style w:type="paragraph" w:customStyle="1" w:styleId="FigureHeader">
    <w:name w:val="Figure Header"/>
    <w:basedOn w:val="Normal"/>
    <w:link w:val="FigureHeaderChar"/>
    <w:autoRedefine/>
    <w:uiPriority w:val="99"/>
    <w:qFormat/>
    <w:rsid w:val="00FE5C2E"/>
    <w:pPr>
      <w:keepNext/>
      <w:keepLines/>
      <w:numPr>
        <w:numId w:val="6"/>
      </w:numPr>
      <w:tabs>
        <w:tab w:val="left" w:pos="1276"/>
      </w:tabs>
      <w:spacing w:before="240" w:after="60"/>
    </w:pPr>
    <w:rPr>
      <w:rFonts w:ascii="Arial" w:hAnsi="Arial" w:cs="Arial"/>
      <w:b/>
      <w:color w:val="5F5F5F" w:themeColor="text2" w:themeTint="BF"/>
      <w:lang w:eastAsia="ja-JP"/>
    </w:rPr>
  </w:style>
  <w:style w:type="paragraph" w:customStyle="1" w:styleId="Default">
    <w:name w:val="Default"/>
    <w:rsid w:val="004E66BE"/>
    <w:pPr>
      <w:autoSpaceDE w:val="0"/>
      <w:autoSpaceDN w:val="0"/>
      <w:adjustRightInd w:val="0"/>
      <w:spacing w:after="0" w:line="240" w:lineRule="auto"/>
    </w:pPr>
    <w:rPr>
      <w:rFonts w:ascii="Times New Roman" w:hAnsi="Times New Roman" w:cs="Times New Roman"/>
      <w:color w:val="000000"/>
      <w:lang w:val="en-GB"/>
    </w:rPr>
  </w:style>
  <w:style w:type="paragraph" w:styleId="FootnoteText">
    <w:name w:val="footnote text"/>
    <w:aliases w:val="single space,FOOTNOTES,fn,Footnote Text Char Char Char Char,Footnote Text Char Char Char,ADB,Footnote Text Char Char Char Char Char,Footnote Text Char Char1,ALTS FOOTNOTE,ft,Geneva 9,Font: Geneva 9,Boston 10,f,Footnote Text 1,footnote text"/>
    <w:basedOn w:val="Normal"/>
    <w:link w:val="FootnoteTextChar"/>
    <w:autoRedefine/>
    <w:uiPriority w:val="99"/>
    <w:unhideWhenUsed/>
    <w:rsid w:val="00325C00"/>
    <w:rPr>
      <w:rFonts w:asciiTheme="minorHAnsi" w:hAnsiTheme="minorHAnsi" w:cstheme="minorBidi"/>
      <w:color w:val="5F5F5F" w:themeColor="text2" w:themeTint="BF"/>
      <w:sz w:val="16"/>
      <w:szCs w:val="20"/>
      <w:lang w:eastAsia="ja-JP"/>
    </w:rPr>
  </w:style>
  <w:style w:type="character" w:customStyle="1" w:styleId="FootnoteTextChar">
    <w:name w:val="Footnote Text Char"/>
    <w:aliases w:val="single space Char,FOOTNOTES Char,fn Char,Footnote Text Char Char Char Char Char1,Footnote Text Char Char Char Char1,ADB Char,Footnote Text Char Char Char Char Char Char,Footnote Text Char Char1 Char,ALTS FOOTNOTE Char,ft Char,f Char"/>
    <w:basedOn w:val="DefaultParagraphFont"/>
    <w:link w:val="FootnoteText"/>
    <w:uiPriority w:val="99"/>
    <w:rsid w:val="00325C00"/>
    <w:rPr>
      <w:sz w:val="16"/>
      <w:szCs w:val="20"/>
    </w:rPr>
  </w:style>
  <w:style w:type="character" w:styleId="FootnoteReference">
    <w:name w:val="footnote reference"/>
    <w:aliases w:val="ASI Footer,ftref,Footnote,BVI fnr,16 Point,Superscript 6 Point,footnote ref,Carattere Carattere Char Char Char Char Char,ftref Char Char Char Char Char,ftref Char Char,ftref Char,Carattere Carattere Char Char Char Char Char Char"/>
    <w:basedOn w:val="DefaultParagraphFont"/>
    <w:uiPriority w:val="99"/>
    <w:unhideWhenUsed/>
    <w:rsid w:val="003157CE"/>
    <w:rPr>
      <w:vertAlign w:val="superscript"/>
    </w:rPr>
  </w:style>
  <w:style w:type="paragraph" w:customStyle="1" w:styleId="Bodytextno">
    <w:name w:val="Body text no"/>
    <w:basedOn w:val="Normal"/>
    <w:rsid w:val="00775619"/>
    <w:pPr>
      <w:numPr>
        <w:numId w:val="7"/>
      </w:numPr>
      <w:spacing w:after="240"/>
      <w:jc w:val="both"/>
    </w:pPr>
    <w:rPr>
      <w:rFonts w:ascii="Arial" w:eastAsia="Times New Roman" w:hAnsi="Arial"/>
      <w:sz w:val="21"/>
      <w:szCs w:val="22"/>
      <w:lang w:val="en-GB" w:eastAsia="en-IE"/>
    </w:rPr>
  </w:style>
  <w:style w:type="paragraph" w:styleId="NormalWeb">
    <w:name w:val="Normal (Web)"/>
    <w:basedOn w:val="Normal"/>
    <w:uiPriority w:val="99"/>
    <w:rsid w:val="005B2F08"/>
    <w:pPr>
      <w:spacing w:before="100" w:beforeAutospacing="1" w:after="100" w:afterAutospacing="1"/>
    </w:pPr>
    <w:rPr>
      <w:rFonts w:ascii="Calibri" w:eastAsia="Times New Roman" w:hAnsi="Calibri"/>
    </w:rPr>
  </w:style>
  <w:style w:type="paragraph" w:customStyle="1" w:styleId="Figures">
    <w:name w:val="Figures"/>
    <w:basedOn w:val="Normal"/>
    <w:autoRedefine/>
    <w:uiPriority w:val="99"/>
    <w:rsid w:val="005B2F08"/>
    <w:pPr>
      <w:keepNext/>
      <w:keepLines/>
      <w:numPr>
        <w:numId w:val="8"/>
      </w:numPr>
      <w:spacing w:before="240" w:after="60"/>
    </w:pPr>
    <w:rPr>
      <w:rFonts w:ascii="Calibri" w:eastAsia="Times New Roman" w:hAnsi="Calibri"/>
      <w:b/>
      <w:bCs/>
    </w:rPr>
  </w:style>
  <w:style w:type="paragraph" w:customStyle="1" w:styleId="Figure">
    <w:name w:val="Figure"/>
    <w:basedOn w:val="Normal"/>
    <w:uiPriority w:val="99"/>
    <w:rsid w:val="005B2F08"/>
    <w:pPr>
      <w:numPr>
        <w:ilvl w:val="1"/>
        <w:numId w:val="8"/>
      </w:numPr>
    </w:pPr>
    <w:rPr>
      <w:rFonts w:ascii="Calibri" w:eastAsia="Times New Roman" w:hAnsi="Calibri"/>
    </w:rPr>
  </w:style>
  <w:style w:type="paragraph" w:customStyle="1" w:styleId="Numberedbullet">
    <w:name w:val="Numbered bullet"/>
    <w:basedOn w:val="ListBullet"/>
    <w:link w:val="NumberedbulletChar"/>
    <w:qFormat/>
    <w:rsid w:val="00333F8B"/>
    <w:pPr>
      <w:ind w:left="714" w:hanging="357"/>
      <w:jc w:val="both"/>
    </w:pPr>
    <w:rPr>
      <w:bCs/>
      <w:lang w:val="en-GB"/>
    </w:rPr>
  </w:style>
  <w:style w:type="character" w:customStyle="1" w:styleId="NumberedbulletChar">
    <w:name w:val="Numbered bullet Char"/>
    <w:basedOn w:val="ListBulletChar"/>
    <w:link w:val="Numberedbullet"/>
    <w:rsid w:val="00333F8B"/>
    <w:rPr>
      <w:bCs/>
      <w:sz w:val="22"/>
      <w:szCs w:val="20"/>
      <w:lang w:val="en-GB"/>
    </w:rPr>
  </w:style>
  <w:style w:type="paragraph" w:customStyle="1" w:styleId="FigureNoattach">
    <w:name w:val="Figure No attach"/>
    <w:basedOn w:val="Normal"/>
    <w:qFormat/>
    <w:rsid w:val="00745E20"/>
    <w:pPr>
      <w:keepNext/>
      <w:keepLines/>
      <w:numPr>
        <w:numId w:val="9"/>
      </w:numPr>
      <w:spacing w:before="120" w:after="60"/>
    </w:pPr>
    <w:rPr>
      <w:rFonts w:ascii="Calibri" w:eastAsia="Times New Roman" w:hAnsi="Calibri"/>
      <w:b/>
      <w:bCs/>
    </w:rPr>
  </w:style>
  <w:style w:type="character" w:styleId="CommentReference">
    <w:name w:val="annotation reference"/>
    <w:basedOn w:val="DefaultParagraphFont"/>
    <w:uiPriority w:val="99"/>
    <w:semiHidden/>
    <w:unhideWhenUsed/>
    <w:rsid w:val="00B773E4"/>
    <w:rPr>
      <w:sz w:val="16"/>
      <w:szCs w:val="16"/>
    </w:rPr>
  </w:style>
  <w:style w:type="paragraph" w:styleId="CommentText">
    <w:name w:val="annotation text"/>
    <w:basedOn w:val="Normal"/>
    <w:link w:val="CommentTextChar"/>
    <w:uiPriority w:val="99"/>
    <w:semiHidden/>
    <w:unhideWhenUsed/>
    <w:rsid w:val="00B773E4"/>
    <w:pPr>
      <w:jc w:val="both"/>
    </w:pPr>
    <w:rPr>
      <w:rFonts w:ascii="Arial" w:eastAsia="Arial" w:hAnsi="Arial" w:cs="Arial"/>
      <w:color w:val="000000"/>
      <w:sz w:val="20"/>
      <w:szCs w:val="20"/>
      <w:lang w:val="en-GB" w:eastAsia="en-GB"/>
    </w:rPr>
  </w:style>
  <w:style w:type="character" w:customStyle="1" w:styleId="CommentTextChar">
    <w:name w:val="Comment Text Char"/>
    <w:basedOn w:val="DefaultParagraphFont"/>
    <w:link w:val="CommentText"/>
    <w:uiPriority w:val="99"/>
    <w:semiHidden/>
    <w:rsid w:val="00B773E4"/>
    <w:rPr>
      <w:rFonts w:ascii="Arial" w:eastAsia="Arial" w:hAnsi="Arial" w:cs="Arial"/>
      <w:color w:val="000000"/>
      <w:sz w:val="20"/>
      <w:szCs w:val="20"/>
      <w:lang w:val="en-GB" w:eastAsia="en-GB"/>
    </w:rPr>
  </w:style>
  <w:style w:type="paragraph" w:customStyle="1" w:styleId="Body">
    <w:name w:val="Body"/>
    <w:rsid w:val="007444DE"/>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lang w:eastAsia="en-US"/>
    </w:rPr>
  </w:style>
  <w:style w:type="paragraph" w:customStyle="1" w:styleId="TextBody">
    <w:name w:val="Text Body"/>
    <w:basedOn w:val="Normal"/>
    <w:rsid w:val="00D4266E"/>
    <w:pPr>
      <w:spacing w:after="140" w:line="288" w:lineRule="auto"/>
    </w:pPr>
    <w:rPr>
      <w:rFonts w:eastAsia="Arial Unicode MS"/>
      <w:color w:val="00000A"/>
      <w:lang w:val="en-GB"/>
    </w:rPr>
  </w:style>
  <w:style w:type="paragraph" w:customStyle="1" w:styleId="FigureNoHeader">
    <w:name w:val="Figure No Header"/>
    <w:basedOn w:val="Normal"/>
    <w:autoRedefine/>
    <w:qFormat/>
    <w:rsid w:val="00D4266E"/>
    <w:pPr>
      <w:keepNext/>
      <w:numPr>
        <w:numId w:val="11"/>
      </w:numPr>
      <w:tabs>
        <w:tab w:val="clear" w:pos="720"/>
        <w:tab w:val="left" w:pos="1134"/>
        <w:tab w:val="left" w:pos="1701"/>
      </w:tabs>
      <w:spacing w:before="120"/>
      <w:ind w:left="0" w:firstLine="0"/>
    </w:pPr>
    <w:rPr>
      <w:rFonts w:ascii="Lucida Grande" w:eastAsia="Arial Unicode MS" w:hAnsi="Lucida Grande" w:cs="Arial Unicode MS"/>
      <w:b/>
      <w:bCs/>
      <w:color w:val="000000"/>
      <w:lang w:val="en-GB"/>
    </w:rPr>
  </w:style>
  <w:style w:type="paragraph" w:styleId="NoSpacing">
    <w:name w:val="No Spacing"/>
    <w:uiPriority w:val="1"/>
    <w:qFormat/>
    <w:rsid w:val="00D4266E"/>
    <w:pPr>
      <w:spacing w:after="0" w:line="240" w:lineRule="auto"/>
    </w:pPr>
    <w:rPr>
      <w:rFonts w:ascii="Baskerville" w:eastAsia="Arial Unicode MS" w:hAnsi="Baskerville" w:cs="Times New Roman"/>
      <w:color w:val="00000A"/>
      <w:szCs w:val="18"/>
      <w:lang w:val="en-GB" w:eastAsia="en-US"/>
    </w:rPr>
  </w:style>
  <w:style w:type="paragraph" w:customStyle="1" w:styleId="BoxStyle">
    <w:name w:val="Box Style"/>
    <w:basedOn w:val="FootnoteText"/>
    <w:link w:val="BoxStyleChar"/>
    <w:qFormat/>
    <w:rsid w:val="00C62DAC"/>
    <w:pPr>
      <w:pBdr>
        <w:top w:val="single" w:sz="4" w:space="1" w:color="auto"/>
        <w:left w:val="single" w:sz="4" w:space="4" w:color="auto"/>
        <w:bottom w:val="single" w:sz="4" w:space="1" w:color="auto"/>
        <w:right w:val="single" w:sz="4" w:space="4" w:color="auto"/>
      </w:pBdr>
      <w:shd w:val="clear" w:color="auto" w:fill="FADE94" w:themeFill="accent6" w:themeFillTint="99"/>
      <w:jc w:val="both"/>
    </w:pPr>
    <w:rPr>
      <w:rFonts w:ascii="Baskerville" w:eastAsia="Times New Roman" w:hAnsi="Baskerville" w:cs="Times New Roman"/>
      <w:color w:val="00000A"/>
      <w:sz w:val="24"/>
      <w:szCs w:val="24"/>
      <w:lang w:val="en-GB" w:eastAsia="zh-CN" w:bidi="hi-IN"/>
    </w:rPr>
  </w:style>
  <w:style w:type="character" w:customStyle="1" w:styleId="BoxStyleChar">
    <w:name w:val="Box Style Char"/>
    <w:link w:val="BoxStyle"/>
    <w:rsid w:val="00C62DAC"/>
    <w:rPr>
      <w:rFonts w:ascii="Baskerville" w:eastAsia="Times New Roman" w:hAnsi="Baskerville" w:cs="Times New Roman"/>
      <w:color w:val="00000A"/>
      <w:shd w:val="clear" w:color="auto" w:fill="FADE94" w:themeFill="accent6" w:themeFillTint="99"/>
      <w:lang w:val="en-GB" w:eastAsia="zh-CN" w:bidi="hi-IN"/>
    </w:rPr>
  </w:style>
  <w:style w:type="paragraph" w:customStyle="1" w:styleId="TableNoHeader">
    <w:name w:val="Table No Header"/>
    <w:basedOn w:val="Normal"/>
    <w:qFormat/>
    <w:rsid w:val="00887CA6"/>
    <w:pPr>
      <w:keepNext/>
      <w:numPr>
        <w:numId w:val="12"/>
      </w:numPr>
      <w:tabs>
        <w:tab w:val="clear" w:pos="720"/>
        <w:tab w:val="left" w:pos="1134"/>
        <w:tab w:val="left" w:pos="1276"/>
      </w:tabs>
      <w:spacing w:before="120"/>
      <w:ind w:left="0" w:firstLine="0"/>
    </w:pPr>
    <w:rPr>
      <w:rFonts w:ascii="Lucida Grande" w:eastAsia="Arial Unicode MS" w:hAnsi="Lucida Grande" w:cs="Arial Unicode MS"/>
      <w:b/>
      <w:bCs/>
      <w:color w:val="000000"/>
      <w:lang w:val="en-GB"/>
    </w:rPr>
  </w:style>
  <w:style w:type="paragraph" w:styleId="CommentSubject">
    <w:name w:val="annotation subject"/>
    <w:basedOn w:val="CommentText"/>
    <w:next w:val="CommentText"/>
    <w:link w:val="CommentSubjectChar"/>
    <w:uiPriority w:val="99"/>
    <w:semiHidden/>
    <w:unhideWhenUsed/>
    <w:rsid w:val="00D965A2"/>
    <w:pPr>
      <w:jc w:val="left"/>
    </w:pPr>
    <w:rPr>
      <w:rFonts w:ascii="Times New Roman" w:eastAsiaTheme="minorHAnsi" w:hAnsi="Times New Roman" w:cs="Times New Roman"/>
      <w:b/>
      <w:bCs/>
      <w:color w:val="auto"/>
      <w:lang w:val="en-US" w:eastAsia="en-US"/>
    </w:rPr>
  </w:style>
  <w:style w:type="character" w:customStyle="1" w:styleId="CommentSubjectChar">
    <w:name w:val="Comment Subject Char"/>
    <w:basedOn w:val="CommentTextChar"/>
    <w:link w:val="CommentSubject"/>
    <w:uiPriority w:val="99"/>
    <w:semiHidden/>
    <w:rsid w:val="00D965A2"/>
    <w:rPr>
      <w:rFonts w:ascii="Times New Roman" w:eastAsia="Arial" w:hAnsi="Times New Roman" w:cs="Times New Roman"/>
      <w:b/>
      <w:bCs/>
      <w:color w:val="auto"/>
      <w:sz w:val="20"/>
      <w:szCs w:val="20"/>
      <w:lang w:val="en-GB" w:eastAsia="en-US"/>
    </w:rPr>
  </w:style>
  <w:style w:type="paragraph" w:customStyle="1" w:styleId="BOXBODY">
    <w:name w:val="BOX BODY"/>
    <w:basedOn w:val="Boxheader"/>
    <w:link w:val="BOXBODYChar"/>
    <w:qFormat/>
    <w:rsid w:val="002F05B1"/>
    <w:pPr>
      <w:numPr>
        <w:numId w:val="0"/>
      </w:numPr>
      <w:spacing w:before="120" w:after="120"/>
      <w:jc w:val="left"/>
    </w:pPr>
    <w:rPr>
      <w:lang w:val="en-GB"/>
    </w:rPr>
  </w:style>
  <w:style w:type="character" w:customStyle="1" w:styleId="BOXBODYChar">
    <w:name w:val="BOX BODY Char"/>
    <w:basedOn w:val="BoxheaderChar"/>
    <w:link w:val="BOXBODY"/>
    <w:rsid w:val="002F05B1"/>
    <w:rPr>
      <w:rFonts w:ascii="Calibri" w:eastAsia="Times New Roman" w:hAnsi="Calibri" w:cs="Calibri"/>
      <w:b/>
      <w:bCs/>
      <w:noProof/>
      <w:color w:val="auto"/>
      <w:shd w:val="clear" w:color="auto" w:fill="C7E3C4" w:themeFill="accent4" w:themeFillTint="66"/>
      <w:lang w:val="en-GB" w:eastAsia="en-AU"/>
    </w:rPr>
  </w:style>
  <w:style w:type="character" w:styleId="PageNumber">
    <w:name w:val="page number"/>
    <w:basedOn w:val="DefaultParagraphFont"/>
    <w:uiPriority w:val="99"/>
    <w:semiHidden/>
    <w:unhideWhenUsed/>
    <w:rsid w:val="003549FF"/>
  </w:style>
  <w:style w:type="paragraph" w:customStyle="1" w:styleId="THETEXTSTYLE">
    <w:name w:val="THE TEXT STYLE"/>
    <w:basedOn w:val="Normal"/>
    <w:link w:val="THETEXTSTYLEChar"/>
    <w:rsid w:val="00DB476D"/>
    <w:pPr>
      <w:spacing w:before="120"/>
    </w:pPr>
    <w:rPr>
      <w:rFonts w:ascii="Arial" w:eastAsia="Times New Roman" w:hAnsi="Arial"/>
      <w:lang w:val="en-AU" w:eastAsia="en-AU"/>
    </w:rPr>
  </w:style>
  <w:style w:type="character" w:customStyle="1" w:styleId="THETEXTSTYLEChar">
    <w:name w:val="THE TEXT STYLE Char"/>
    <w:link w:val="THETEXTSTYLE"/>
    <w:locked/>
    <w:rsid w:val="00DB476D"/>
    <w:rPr>
      <w:rFonts w:ascii="Arial" w:eastAsia="Times New Roman" w:hAnsi="Arial" w:cs="Times New Roman"/>
      <w:color w:val="auto"/>
      <w:lang w:val="en-AU" w:eastAsia="en-AU"/>
    </w:rPr>
  </w:style>
  <w:style w:type="paragraph" w:customStyle="1" w:styleId="ReportHeading2">
    <w:name w:val="Report Heading 2"/>
    <w:basedOn w:val="Heading2"/>
    <w:link w:val="ReportHeading2Char"/>
    <w:qFormat/>
    <w:rsid w:val="002376CE"/>
    <w:pPr>
      <w:spacing w:before="40" w:after="0" w:line="259" w:lineRule="auto"/>
      <w:contextualSpacing w:val="0"/>
      <w:jc w:val="both"/>
    </w:pPr>
    <w:rPr>
      <w:rFonts w:eastAsiaTheme="majorEastAsia"/>
      <w:b w:val="0"/>
      <w:caps w:val="0"/>
      <w:color w:val="EB130B" w:themeColor="accent1" w:themeShade="BF"/>
      <w:sz w:val="26"/>
      <w:lang w:eastAsia="en-US"/>
    </w:rPr>
  </w:style>
  <w:style w:type="paragraph" w:customStyle="1" w:styleId="ReportHeading1">
    <w:name w:val="Report Heading 1"/>
    <w:basedOn w:val="Heading1"/>
    <w:link w:val="ReportHeading1Char"/>
    <w:qFormat/>
    <w:rsid w:val="002376CE"/>
    <w:pPr>
      <w:spacing w:before="240" w:after="0" w:line="259" w:lineRule="auto"/>
      <w:contextualSpacing w:val="0"/>
      <w:jc w:val="both"/>
    </w:pPr>
    <w:rPr>
      <w:bCs/>
      <w:caps w:val="0"/>
      <w:color w:val="EB130B" w:themeColor="accent1" w:themeShade="BF"/>
      <w:sz w:val="32"/>
      <w:lang w:eastAsia="en-US"/>
    </w:rPr>
  </w:style>
  <w:style w:type="character" w:customStyle="1" w:styleId="ReportHeading2Char">
    <w:name w:val="Report Heading 2 Char"/>
    <w:basedOn w:val="Heading2Char"/>
    <w:link w:val="ReportHeading2"/>
    <w:rsid w:val="002376CE"/>
    <w:rPr>
      <w:rFonts w:asciiTheme="majorHAnsi" w:eastAsiaTheme="majorEastAsia" w:hAnsiTheme="majorHAnsi" w:cstheme="majorBidi"/>
      <w:b w:val="0"/>
      <w:caps w:val="0"/>
      <w:color w:val="EB130B" w:themeColor="accent1" w:themeShade="BF"/>
      <w:sz w:val="26"/>
      <w:szCs w:val="26"/>
      <w:lang w:val="en-GB" w:eastAsia="en-US"/>
    </w:rPr>
  </w:style>
  <w:style w:type="character" w:customStyle="1" w:styleId="ReportHeading1Char">
    <w:name w:val="Report Heading 1 Char"/>
    <w:basedOn w:val="Heading1Char"/>
    <w:link w:val="ReportHeading1"/>
    <w:rsid w:val="002376CE"/>
    <w:rPr>
      <w:rFonts w:asciiTheme="majorHAnsi" w:eastAsiaTheme="majorEastAsia" w:hAnsiTheme="majorHAnsi" w:cstheme="majorBidi"/>
      <w:b/>
      <w:bCs/>
      <w:caps w:val="0"/>
      <w:color w:val="EB130B" w:themeColor="accent1" w:themeShade="BF"/>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9917">
      <w:bodyDiv w:val="1"/>
      <w:marLeft w:val="0"/>
      <w:marRight w:val="0"/>
      <w:marTop w:val="0"/>
      <w:marBottom w:val="0"/>
      <w:divBdr>
        <w:top w:val="none" w:sz="0" w:space="0" w:color="auto"/>
        <w:left w:val="none" w:sz="0" w:space="0" w:color="auto"/>
        <w:bottom w:val="none" w:sz="0" w:space="0" w:color="auto"/>
        <w:right w:val="none" w:sz="0" w:space="0" w:color="auto"/>
      </w:divBdr>
      <w:divsChild>
        <w:div w:id="193352862">
          <w:marLeft w:val="1181"/>
          <w:marRight w:val="0"/>
          <w:marTop w:val="40"/>
          <w:marBottom w:val="80"/>
          <w:divBdr>
            <w:top w:val="none" w:sz="0" w:space="0" w:color="auto"/>
            <w:left w:val="none" w:sz="0" w:space="0" w:color="auto"/>
            <w:bottom w:val="none" w:sz="0" w:space="0" w:color="auto"/>
            <w:right w:val="none" w:sz="0" w:space="0" w:color="auto"/>
          </w:divBdr>
        </w:div>
        <w:div w:id="466289462">
          <w:marLeft w:val="1181"/>
          <w:marRight w:val="0"/>
          <w:marTop w:val="40"/>
          <w:marBottom w:val="80"/>
          <w:divBdr>
            <w:top w:val="none" w:sz="0" w:space="0" w:color="auto"/>
            <w:left w:val="none" w:sz="0" w:space="0" w:color="auto"/>
            <w:bottom w:val="none" w:sz="0" w:space="0" w:color="auto"/>
            <w:right w:val="none" w:sz="0" w:space="0" w:color="auto"/>
          </w:divBdr>
        </w:div>
        <w:div w:id="470441397">
          <w:marLeft w:val="1181"/>
          <w:marRight w:val="0"/>
          <w:marTop w:val="40"/>
          <w:marBottom w:val="80"/>
          <w:divBdr>
            <w:top w:val="none" w:sz="0" w:space="0" w:color="auto"/>
            <w:left w:val="none" w:sz="0" w:space="0" w:color="auto"/>
            <w:bottom w:val="none" w:sz="0" w:space="0" w:color="auto"/>
            <w:right w:val="none" w:sz="0" w:space="0" w:color="auto"/>
          </w:divBdr>
        </w:div>
        <w:div w:id="915017531">
          <w:marLeft w:val="1181"/>
          <w:marRight w:val="0"/>
          <w:marTop w:val="40"/>
          <w:marBottom w:val="80"/>
          <w:divBdr>
            <w:top w:val="none" w:sz="0" w:space="0" w:color="auto"/>
            <w:left w:val="none" w:sz="0" w:space="0" w:color="auto"/>
            <w:bottom w:val="none" w:sz="0" w:space="0" w:color="auto"/>
            <w:right w:val="none" w:sz="0" w:space="0" w:color="auto"/>
          </w:divBdr>
        </w:div>
        <w:div w:id="1060327453">
          <w:marLeft w:val="1181"/>
          <w:marRight w:val="0"/>
          <w:marTop w:val="40"/>
          <w:marBottom w:val="80"/>
          <w:divBdr>
            <w:top w:val="none" w:sz="0" w:space="0" w:color="auto"/>
            <w:left w:val="none" w:sz="0" w:space="0" w:color="auto"/>
            <w:bottom w:val="none" w:sz="0" w:space="0" w:color="auto"/>
            <w:right w:val="none" w:sz="0" w:space="0" w:color="auto"/>
          </w:divBdr>
        </w:div>
        <w:div w:id="1584338778">
          <w:marLeft w:val="806"/>
          <w:marRight w:val="0"/>
          <w:marTop w:val="240"/>
          <w:marBottom w:val="40"/>
          <w:divBdr>
            <w:top w:val="none" w:sz="0" w:space="0" w:color="auto"/>
            <w:left w:val="none" w:sz="0" w:space="0" w:color="auto"/>
            <w:bottom w:val="none" w:sz="0" w:space="0" w:color="auto"/>
            <w:right w:val="none" w:sz="0" w:space="0" w:color="auto"/>
          </w:divBdr>
        </w:div>
        <w:div w:id="1650943877">
          <w:marLeft w:val="1181"/>
          <w:marRight w:val="0"/>
          <w:marTop w:val="40"/>
          <w:marBottom w:val="80"/>
          <w:divBdr>
            <w:top w:val="none" w:sz="0" w:space="0" w:color="auto"/>
            <w:left w:val="none" w:sz="0" w:space="0" w:color="auto"/>
            <w:bottom w:val="none" w:sz="0" w:space="0" w:color="auto"/>
            <w:right w:val="none" w:sz="0" w:space="0" w:color="auto"/>
          </w:divBdr>
        </w:div>
        <w:div w:id="1817381948">
          <w:marLeft w:val="1181"/>
          <w:marRight w:val="0"/>
          <w:marTop w:val="40"/>
          <w:marBottom w:val="80"/>
          <w:divBdr>
            <w:top w:val="none" w:sz="0" w:space="0" w:color="auto"/>
            <w:left w:val="none" w:sz="0" w:space="0" w:color="auto"/>
            <w:bottom w:val="none" w:sz="0" w:space="0" w:color="auto"/>
            <w:right w:val="none" w:sz="0" w:space="0" w:color="auto"/>
          </w:divBdr>
        </w:div>
      </w:divsChild>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793390">
      <w:bodyDiv w:val="1"/>
      <w:marLeft w:val="0"/>
      <w:marRight w:val="0"/>
      <w:marTop w:val="0"/>
      <w:marBottom w:val="0"/>
      <w:divBdr>
        <w:top w:val="none" w:sz="0" w:space="0" w:color="auto"/>
        <w:left w:val="none" w:sz="0" w:space="0" w:color="auto"/>
        <w:bottom w:val="none" w:sz="0" w:space="0" w:color="auto"/>
        <w:right w:val="none" w:sz="0" w:space="0" w:color="auto"/>
      </w:divBdr>
      <w:divsChild>
        <w:div w:id="1714110782">
          <w:marLeft w:val="806"/>
          <w:marRight w:val="0"/>
          <w:marTop w:val="240"/>
          <w:marBottom w:val="40"/>
          <w:divBdr>
            <w:top w:val="none" w:sz="0" w:space="0" w:color="auto"/>
            <w:left w:val="none" w:sz="0" w:space="0" w:color="auto"/>
            <w:bottom w:val="none" w:sz="0" w:space="0" w:color="auto"/>
            <w:right w:val="none" w:sz="0" w:space="0" w:color="auto"/>
          </w:divBdr>
        </w:div>
      </w:divsChild>
    </w:div>
    <w:div w:id="162405348">
      <w:bodyDiv w:val="1"/>
      <w:marLeft w:val="0"/>
      <w:marRight w:val="0"/>
      <w:marTop w:val="0"/>
      <w:marBottom w:val="0"/>
      <w:divBdr>
        <w:top w:val="none" w:sz="0" w:space="0" w:color="auto"/>
        <w:left w:val="none" w:sz="0" w:space="0" w:color="auto"/>
        <w:bottom w:val="none" w:sz="0" w:space="0" w:color="auto"/>
        <w:right w:val="none" w:sz="0" w:space="0" w:color="auto"/>
      </w:divBdr>
      <w:divsChild>
        <w:div w:id="426853331">
          <w:marLeft w:val="1181"/>
          <w:marRight w:val="0"/>
          <w:marTop w:val="40"/>
          <w:marBottom w:val="80"/>
          <w:divBdr>
            <w:top w:val="none" w:sz="0" w:space="0" w:color="auto"/>
            <w:left w:val="none" w:sz="0" w:space="0" w:color="auto"/>
            <w:bottom w:val="none" w:sz="0" w:space="0" w:color="auto"/>
            <w:right w:val="none" w:sz="0" w:space="0" w:color="auto"/>
          </w:divBdr>
        </w:div>
        <w:div w:id="759642349">
          <w:marLeft w:val="1181"/>
          <w:marRight w:val="0"/>
          <w:marTop w:val="40"/>
          <w:marBottom w:val="80"/>
          <w:divBdr>
            <w:top w:val="none" w:sz="0" w:space="0" w:color="auto"/>
            <w:left w:val="none" w:sz="0" w:space="0" w:color="auto"/>
            <w:bottom w:val="none" w:sz="0" w:space="0" w:color="auto"/>
            <w:right w:val="none" w:sz="0" w:space="0" w:color="auto"/>
          </w:divBdr>
        </w:div>
        <w:div w:id="1163931384">
          <w:marLeft w:val="1181"/>
          <w:marRight w:val="0"/>
          <w:marTop w:val="40"/>
          <w:marBottom w:val="80"/>
          <w:divBdr>
            <w:top w:val="none" w:sz="0" w:space="0" w:color="auto"/>
            <w:left w:val="none" w:sz="0" w:space="0" w:color="auto"/>
            <w:bottom w:val="none" w:sz="0" w:space="0" w:color="auto"/>
            <w:right w:val="none" w:sz="0" w:space="0" w:color="auto"/>
          </w:divBdr>
        </w:div>
        <w:div w:id="1247954372">
          <w:marLeft w:val="1469"/>
          <w:marRight w:val="0"/>
          <w:marTop w:val="40"/>
          <w:marBottom w:val="80"/>
          <w:divBdr>
            <w:top w:val="none" w:sz="0" w:space="0" w:color="auto"/>
            <w:left w:val="none" w:sz="0" w:space="0" w:color="auto"/>
            <w:bottom w:val="none" w:sz="0" w:space="0" w:color="auto"/>
            <w:right w:val="none" w:sz="0" w:space="0" w:color="auto"/>
          </w:divBdr>
        </w:div>
        <w:div w:id="1257859804">
          <w:marLeft w:val="720"/>
          <w:marRight w:val="0"/>
          <w:marTop w:val="240"/>
          <w:marBottom w:val="40"/>
          <w:divBdr>
            <w:top w:val="none" w:sz="0" w:space="0" w:color="auto"/>
            <w:left w:val="none" w:sz="0" w:space="0" w:color="auto"/>
            <w:bottom w:val="none" w:sz="0" w:space="0" w:color="auto"/>
            <w:right w:val="none" w:sz="0" w:space="0" w:color="auto"/>
          </w:divBdr>
        </w:div>
        <w:div w:id="1664157868">
          <w:marLeft w:val="1181"/>
          <w:marRight w:val="0"/>
          <w:marTop w:val="40"/>
          <w:marBottom w:val="80"/>
          <w:divBdr>
            <w:top w:val="none" w:sz="0" w:space="0" w:color="auto"/>
            <w:left w:val="none" w:sz="0" w:space="0" w:color="auto"/>
            <w:bottom w:val="none" w:sz="0" w:space="0" w:color="auto"/>
            <w:right w:val="none" w:sz="0" w:space="0" w:color="auto"/>
          </w:divBdr>
        </w:div>
        <w:div w:id="1874221026">
          <w:marLeft w:val="1181"/>
          <w:marRight w:val="0"/>
          <w:marTop w:val="40"/>
          <w:marBottom w:val="80"/>
          <w:divBdr>
            <w:top w:val="none" w:sz="0" w:space="0" w:color="auto"/>
            <w:left w:val="none" w:sz="0" w:space="0" w:color="auto"/>
            <w:bottom w:val="none" w:sz="0" w:space="0" w:color="auto"/>
            <w:right w:val="none" w:sz="0" w:space="0" w:color="auto"/>
          </w:divBdr>
        </w:div>
        <w:div w:id="2073313654">
          <w:marLeft w:val="1181"/>
          <w:marRight w:val="0"/>
          <w:marTop w:val="40"/>
          <w:marBottom w:val="80"/>
          <w:divBdr>
            <w:top w:val="none" w:sz="0" w:space="0" w:color="auto"/>
            <w:left w:val="none" w:sz="0" w:space="0" w:color="auto"/>
            <w:bottom w:val="none" w:sz="0" w:space="0" w:color="auto"/>
            <w:right w:val="none" w:sz="0" w:space="0" w:color="auto"/>
          </w:divBdr>
        </w:div>
        <w:div w:id="2073771768">
          <w:marLeft w:val="1181"/>
          <w:marRight w:val="0"/>
          <w:marTop w:val="40"/>
          <w:marBottom w:val="80"/>
          <w:divBdr>
            <w:top w:val="none" w:sz="0" w:space="0" w:color="auto"/>
            <w:left w:val="none" w:sz="0" w:space="0" w:color="auto"/>
            <w:bottom w:val="none" w:sz="0" w:space="0" w:color="auto"/>
            <w:right w:val="none" w:sz="0" w:space="0" w:color="auto"/>
          </w:divBdr>
        </w:div>
      </w:divsChild>
    </w:div>
    <w:div w:id="165365406">
      <w:bodyDiv w:val="1"/>
      <w:marLeft w:val="0"/>
      <w:marRight w:val="0"/>
      <w:marTop w:val="0"/>
      <w:marBottom w:val="0"/>
      <w:divBdr>
        <w:top w:val="none" w:sz="0" w:space="0" w:color="auto"/>
        <w:left w:val="none" w:sz="0" w:space="0" w:color="auto"/>
        <w:bottom w:val="none" w:sz="0" w:space="0" w:color="auto"/>
        <w:right w:val="none" w:sz="0" w:space="0" w:color="auto"/>
      </w:divBdr>
    </w:div>
    <w:div w:id="226038517">
      <w:bodyDiv w:val="1"/>
      <w:marLeft w:val="0"/>
      <w:marRight w:val="0"/>
      <w:marTop w:val="0"/>
      <w:marBottom w:val="0"/>
      <w:divBdr>
        <w:top w:val="none" w:sz="0" w:space="0" w:color="auto"/>
        <w:left w:val="none" w:sz="0" w:space="0" w:color="auto"/>
        <w:bottom w:val="none" w:sz="0" w:space="0" w:color="auto"/>
        <w:right w:val="none" w:sz="0" w:space="0" w:color="auto"/>
      </w:divBdr>
    </w:div>
    <w:div w:id="249627192">
      <w:bodyDiv w:val="1"/>
      <w:marLeft w:val="0"/>
      <w:marRight w:val="0"/>
      <w:marTop w:val="0"/>
      <w:marBottom w:val="0"/>
      <w:divBdr>
        <w:top w:val="none" w:sz="0" w:space="0" w:color="auto"/>
        <w:left w:val="none" w:sz="0" w:space="0" w:color="auto"/>
        <w:bottom w:val="none" w:sz="0" w:space="0" w:color="auto"/>
        <w:right w:val="none" w:sz="0" w:space="0" w:color="auto"/>
      </w:divBdr>
    </w:div>
    <w:div w:id="258023302">
      <w:bodyDiv w:val="1"/>
      <w:marLeft w:val="0"/>
      <w:marRight w:val="0"/>
      <w:marTop w:val="0"/>
      <w:marBottom w:val="0"/>
      <w:divBdr>
        <w:top w:val="none" w:sz="0" w:space="0" w:color="auto"/>
        <w:left w:val="none" w:sz="0" w:space="0" w:color="auto"/>
        <w:bottom w:val="none" w:sz="0" w:space="0" w:color="auto"/>
        <w:right w:val="none" w:sz="0" w:space="0" w:color="auto"/>
      </w:divBdr>
    </w:div>
    <w:div w:id="262692060">
      <w:bodyDiv w:val="1"/>
      <w:marLeft w:val="0"/>
      <w:marRight w:val="0"/>
      <w:marTop w:val="0"/>
      <w:marBottom w:val="0"/>
      <w:divBdr>
        <w:top w:val="none" w:sz="0" w:space="0" w:color="auto"/>
        <w:left w:val="none" w:sz="0" w:space="0" w:color="auto"/>
        <w:bottom w:val="none" w:sz="0" w:space="0" w:color="auto"/>
        <w:right w:val="none" w:sz="0" w:space="0" w:color="auto"/>
      </w:divBdr>
    </w:div>
    <w:div w:id="270745212">
      <w:bodyDiv w:val="1"/>
      <w:marLeft w:val="0"/>
      <w:marRight w:val="0"/>
      <w:marTop w:val="0"/>
      <w:marBottom w:val="0"/>
      <w:divBdr>
        <w:top w:val="none" w:sz="0" w:space="0" w:color="auto"/>
        <w:left w:val="none" w:sz="0" w:space="0" w:color="auto"/>
        <w:bottom w:val="none" w:sz="0" w:space="0" w:color="auto"/>
        <w:right w:val="none" w:sz="0" w:space="0" w:color="auto"/>
      </w:divBdr>
    </w:div>
    <w:div w:id="296881915">
      <w:bodyDiv w:val="1"/>
      <w:marLeft w:val="0"/>
      <w:marRight w:val="0"/>
      <w:marTop w:val="0"/>
      <w:marBottom w:val="0"/>
      <w:divBdr>
        <w:top w:val="none" w:sz="0" w:space="0" w:color="auto"/>
        <w:left w:val="none" w:sz="0" w:space="0" w:color="auto"/>
        <w:bottom w:val="none" w:sz="0" w:space="0" w:color="auto"/>
        <w:right w:val="none" w:sz="0" w:space="0" w:color="auto"/>
      </w:divBdr>
    </w:div>
    <w:div w:id="339623540">
      <w:bodyDiv w:val="1"/>
      <w:marLeft w:val="0"/>
      <w:marRight w:val="0"/>
      <w:marTop w:val="0"/>
      <w:marBottom w:val="0"/>
      <w:divBdr>
        <w:top w:val="none" w:sz="0" w:space="0" w:color="auto"/>
        <w:left w:val="none" w:sz="0" w:space="0" w:color="auto"/>
        <w:bottom w:val="none" w:sz="0" w:space="0" w:color="auto"/>
        <w:right w:val="none" w:sz="0" w:space="0" w:color="auto"/>
      </w:divBdr>
    </w:div>
    <w:div w:id="340283309">
      <w:bodyDiv w:val="1"/>
      <w:marLeft w:val="0"/>
      <w:marRight w:val="0"/>
      <w:marTop w:val="0"/>
      <w:marBottom w:val="0"/>
      <w:divBdr>
        <w:top w:val="none" w:sz="0" w:space="0" w:color="auto"/>
        <w:left w:val="none" w:sz="0" w:space="0" w:color="auto"/>
        <w:bottom w:val="none" w:sz="0" w:space="0" w:color="auto"/>
        <w:right w:val="none" w:sz="0" w:space="0" w:color="auto"/>
      </w:divBdr>
    </w:div>
    <w:div w:id="362480169">
      <w:bodyDiv w:val="1"/>
      <w:marLeft w:val="0"/>
      <w:marRight w:val="0"/>
      <w:marTop w:val="0"/>
      <w:marBottom w:val="0"/>
      <w:divBdr>
        <w:top w:val="none" w:sz="0" w:space="0" w:color="auto"/>
        <w:left w:val="none" w:sz="0" w:space="0" w:color="auto"/>
        <w:bottom w:val="none" w:sz="0" w:space="0" w:color="auto"/>
        <w:right w:val="none" w:sz="0" w:space="0" w:color="auto"/>
      </w:divBdr>
    </w:div>
    <w:div w:id="378166462">
      <w:bodyDiv w:val="1"/>
      <w:marLeft w:val="0"/>
      <w:marRight w:val="0"/>
      <w:marTop w:val="0"/>
      <w:marBottom w:val="0"/>
      <w:divBdr>
        <w:top w:val="none" w:sz="0" w:space="0" w:color="auto"/>
        <w:left w:val="none" w:sz="0" w:space="0" w:color="auto"/>
        <w:bottom w:val="none" w:sz="0" w:space="0" w:color="auto"/>
        <w:right w:val="none" w:sz="0" w:space="0" w:color="auto"/>
      </w:divBdr>
      <w:divsChild>
        <w:div w:id="252470015">
          <w:marLeft w:val="806"/>
          <w:marRight w:val="0"/>
          <w:marTop w:val="240"/>
          <w:marBottom w:val="40"/>
          <w:divBdr>
            <w:top w:val="none" w:sz="0" w:space="0" w:color="auto"/>
            <w:left w:val="none" w:sz="0" w:space="0" w:color="auto"/>
            <w:bottom w:val="none" w:sz="0" w:space="0" w:color="auto"/>
            <w:right w:val="none" w:sz="0" w:space="0" w:color="auto"/>
          </w:divBdr>
        </w:div>
        <w:div w:id="356077888">
          <w:marLeft w:val="1181"/>
          <w:marRight w:val="0"/>
          <w:marTop w:val="40"/>
          <w:marBottom w:val="80"/>
          <w:divBdr>
            <w:top w:val="none" w:sz="0" w:space="0" w:color="auto"/>
            <w:left w:val="none" w:sz="0" w:space="0" w:color="auto"/>
            <w:bottom w:val="none" w:sz="0" w:space="0" w:color="auto"/>
            <w:right w:val="none" w:sz="0" w:space="0" w:color="auto"/>
          </w:divBdr>
        </w:div>
        <w:div w:id="506481299">
          <w:marLeft w:val="1181"/>
          <w:marRight w:val="0"/>
          <w:marTop w:val="40"/>
          <w:marBottom w:val="80"/>
          <w:divBdr>
            <w:top w:val="none" w:sz="0" w:space="0" w:color="auto"/>
            <w:left w:val="none" w:sz="0" w:space="0" w:color="auto"/>
            <w:bottom w:val="none" w:sz="0" w:space="0" w:color="auto"/>
            <w:right w:val="none" w:sz="0" w:space="0" w:color="auto"/>
          </w:divBdr>
        </w:div>
        <w:div w:id="1033268310">
          <w:marLeft w:val="1181"/>
          <w:marRight w:val="0"/>
          <w:marTop w:val="40"/>
          <w:marBottom w:val="80"/>
          <w:divBdr>
            <w:top w:val="none" w:sz="0" w:space="0" w:color="auto"/>
            <w:left w:val="none" w:sz="0" w:space="0" w:color="auto"/>
            <w:bottom w:val="none" w:sz="0" w:space="0" w:color="auto"/>
            <w:right w:val="none" w:sz="0" w:space="0" w:color="auto"/>
          </w:divBdr>
        </w:div>
        <w:div w:id="1134326973">
          <w:marLeft w:val="1181"/>
          <w:marRight w:val="0"/>
          <w:marTop w:val="40"/>
          <w:marBottom w:val="80"/>
          <w:divBdr>
            <w:top w:val="none" w:sz="0" w:space="0" w:color="auto"/>
            <w:left w:val="none" w:sz="0" w:space="0" w:color="auto"/>
            <w:bottom w:val="none" w:sz="0" w:space="0" w:color="auto"/>
            <w:right w:val="none" w:sz="0" w:space="0" w:color="auto"/>
          </w:divBdr>
        </w:div>
        <w:div w:id="1161702026">
          <w:marLeft w:val="1181"/>
          <w:marRight w:val="0"/>
          <w:marTop w:val="40"/>
          <w:marBottom w:val="80"/>
          <w:divBdr>
            <w:top w:val="none" w:sz="0" w:space="0" w:color="auto"/>
            <w:left w:val="none" w:sz="0" w:space="0" w:color="auto"/>
            <w:bottom w:val="none" w:sz="0" w:space="0" w:color="auto"/>
            <w:right w:val="none" w:sz="0" w:space="0" w:color="auto"/>
          </w:divBdr>
        </w:div>
        <w:div w:id="1699963377">
          <w:marLeft w:val="1181"/>
          <w:marRight w:val="0"/>
          <w:marTop w:val="40"/>
          <w:marBottom w:val="80"/>
          <w:divBdr>
            <w:top w:val="none" w:sz="0" w:space="0" w:color="auto"/>
            <w:left w:val="none" w:sz="0" w:space="0" w:color="auto"/>
            <w:bottom w:val="none" w:sz="0" w:space="0" w:color="auto"/>
            <w:right w:val="none" w:sz="0" w:space="0" w:color="auto"/>
          </w:divBdr>
        </w:div>
        <w:div w:id="2099910017">
          <w:marLeft w:val="1181"/>
          <w:marRight w:val="0"/>
          <w:marTop w:val="40"/>
          <w:marBottom w:val="80"/>
          <w:divBdr>
            <w:top w:val="none" w:sz="0" w:space="0" w:color="auto"/>
            <w:left w:val="none" w:sz="0" w:space="0" w:color="auto"/>
            <w:bottom w:val="none" w:sz="0" w:space="0" w:color="auto"/>
            <w:right w:val="none" w:sz="0" w:space="0" w:color="auto"/>
          </w:divBdr>
        </w:div>
      </w:divsChild>
    </w:div>
    <w:div w:id="399250563">
      <w:bodyDiv w:val="1"/>
      <w:marLeft w:val="0"/>
      <w:marRight w:val="0"/>
      <w:marTop w:val="0"/>
      <w:marBottom w:val="0"/>
      <w:divBdr>
        <w:top w:val="none" w:sz="0" w:space="0" w:color="auto"/>
        <w:left w:val="none" w:sz="0" w:space="0" w:color="auto"/>
        <w:bottom w:val="none" w:sz="0" w:space="0" w:color="auto"/>
        <w:right w:val="none" w:sz="0" w:space="0" w:color="auto"/>
      </w:divBdr>
    </w:div>
    <w:div w:id="403532292">
      <w:bodyDiv w:val="1"/>
      <w:marLeft w:val="0"/>
      <w:marRight w:val="0"/>
      <w:marTop w:val="0"/>
      <w:marBottom w:val="0"/>
      <w:divBdr>
        <w:top w:val="none" w:sz="0" w:space="0" w:color="auto"/>
        <w:left w:val="none" w:sz="0" w:space="0" w:color="auto"/>
        <w:bottom w:val="none" w:sz="0" w:space="0" w:color="auto"/>
        <w:right w:val="none" w:sz="0" w:space="0" w:color="auto"/>
      </w:divBdr>
    </w:div>
    <w:div w:id="406150255">
      <w:bodyDiv w:val="1"/>
      <w:marLeft w:val="0"/>
      <w:marRight w:val="0"/>
      <w:marTop w:val="0"/>
      <w:marBottom w:val="0"/>
      <w:divBdr>
        <w:top w:val="none" w:sz="0" w:space="0" w:color="auto"/>
        <w:left w:val="none" w:sz="0" w:space="0" w:color="auto"/>
        <w:bottom w:val="none" w:sz="0" w:space="0" w:color="auto"/>
        <w:right w:val="none" w:sz="0" w:space="0" w:color="auto"/>
      </w:divBdr>
    </w:div>
    <w:div w:id="428279519">
      <w:bodyDiv w:val="1"/>
      <w:marLeft w:val="0"/>
      <w:marRight w:val="0"/>
      <w:marTop w:val="0"/>
      <w:marBottom w:val="0"/>
      <w:divBdr>
        <w:top w:val="none" w:sz="0" w:space="0" w:color="auto"/>
        <w:left w:val="none" w:sz="0" w:space="0" w:color="auto"/>
        <w:bottom w:val="none" w:sz="0" w:space="0" w:color="auto"/>
        <w:right w:val="none" w:sz="0" w:space="0" w:color="auto"/>
      </w:divBdr>
      <w:divsChild>
        <w:div w:id="185024086">
          <w:marLeft w:val="1181"/>
          <w:marRight w:val="0"/>
          <w:marTop w:val="40"/>
          <w:marBottom w:val="80"/>
          <w:divBdr>
            <w:top w:val="none" w:sz="0" w:space="0" w:color="auto"/>
            <w:left w:val="none" w:sz="0" w:space="0" w:color="auto"/>
            <w:bottom w:val="none" w:sz="0" w:space="0" w:color="auto"/>
            <w:right w:val="none" w:sz="0" w:space="0" w:color="auto"/>
          </w:divBdr>
        </w:div>
        <w:div w:id="480536683">
          <w:marLeft w:val="1181"/>
          <w:marRight w:val="0"/>
          <w:marTop w:val="40"/>
          <w:marBottom w:val="80"/>
          <w:divBdr>
            <w:top w:val="none" w:sz="0" w:space="0" w:color="auto"/>
            <w:left w:val="none" w:sz="0" w:space="0" w:color="auto"/>
            <w:bottom w:val="none" w:sz="0" w:space="0" w:color="auto"/>
            <w:right w:val="none" w:sz="0" w:space="0" w:color="auto"/>
          </w:divBdr>
        </w:div>
        <w:div w:id="1011953167">
          <w:marLeft w:val="1181"/>
          <w:marRight w:val="0"/>
          <w:marTop w:val="40"/>
          <w:marBottom w:val="80"/>
          <w:divBdr>
            <w:top w:val="none" w:sz="0" w:space="0" w:color="auto"/>
            <w:left w:val="none" w:sz="0" w:space="0" w:color="auto"/>
            <w:bottom w:val="none" w:sz="0" w:space="0" w:color="auto"/>
            <w:right w:val="none" w:sz="0" w:space="0" w:color="auto"/>
          </w:divBdr>
        </w:div>
        <w:div w:id="1045063785">
          <w:marLeft w:val="806"/>
          <w:marRight w:val="0"/>
          <w:marTop w:val="240"/>
          <w:marBottom w:val="40"/>
          <w:divBdr>
            <w:top w:val="none" w:sz="0" w:space="0" w:color="auto"/>
            <w:left w:val="none" w:sz="0" w:space="0" w:color="auto"/>
            <w:bottom w:val="none" w:sz="0" w:space="0" w:color="auto"/>
            <w:right w:val="none" w:sz="0" w:space="0" w:color="auto"/>
          </w:divBdr>
        </w:div>
        <w:div w:id="1383016691">
          <w:marLeft w:val="1181"/>
          <w:marRight w:val="0"/>
          <w:marTop w:val="40"/>
          <w:marBottom w:val="80"/>
          <w:divBdr>
            <w:top w:val="none" w:sz="0" w:space="0" w:color="auto"/>
            <w:left w:val="none" w:sz="0" w:space="0" w:color="auto"/>
            <w:bottom w:val="none" w:sz="0" w:space="0" w:color="auto"/>
            <w:right w:val="none" w:sz="0" w:space="0" w:color="auto"/>
          </w:divBdr>
        </w:div>
        <w:div w:id="1588344262">
          <w:marLeft w:val="1181"/>
          <w:marRight w:val="0"/>
          <w:marTop w:val="40"/>
          <w:marBottom w:val="80"/>
          <w:divBdr>
            <w:top w:val="none" w:sz="0" w:space="0" w:color="auto"/>
            <w:left w:val="none" w:sz="0" w:space="0" w:color="auto"/>
            <w:bottom w:val="none" w:sz="0" w:space="0" w:color="auto"/>
            <w:right w:val="none" w:sz="0" w:space="0" w:color="auto"/>
          </w:divBdr>
        </w:div>
        <w:div w:id="1630237279">
          <w:marLeft w:val="1181"/>
          <w:marRight w:val="0"/>
          <w:marTop w:val="40"/>
          <w:marBottom w:val="80"/>
          <w:divBdr>
            <w:top w:val="none" w:sz="0" w:space="0" w:color="auto"/>
            <w:left w:val="none" w:sz="0" w:space="0" w:color="auto"/>
            <w:bottom w:val="none" w:sz="0" w:space="0" w:color="auto"/>
            <w:right w:val="none" w:sz="0" w:space="0" w:color="auto"/>
          </w:divBdr>
        </w:div>
        <w:div w:id="1757945738">
          <w:marLeft w:val="1181"/>
          <w:marRight w:val="0"/>
          <w:marTop w:val="40"/>
          <w:marBottom w:val="80"/>
          <w:divBdr>
            <w:top w:val="none" w:sz="0" w:space="0" w:color="auto"/>
            <w:left w:val="none" w:sz="0" w:space="0" w:color="auto"/>
            <w:bottom w:val="none" w:sz="0" w:space="0" w:color="auto"/>
            <w:right w:val="none" w:sz="0" w:space="0" w:color="auto"/>
          </w:divBdr>
        </w:div>
        <w:div w:id="1949778077">
          <w:marLeft w:val="1181"/>
          <w:marRight w:val="0"/>
          <w:marTop w:val="40"/>
          <w:marBottom w:val="80"/>
          <w:divBdr>
            <w:top w:val="none" w:sz="0" w:space="0" w:color="auto"/>
            <w:left w:val="none" w:sz="0" w:space="0" w:color="auto"/>
            <w:bottom w:val="none" w:sz="0" w:space="0" w:color="auto"/>
            <w:right w:val="none" w:sz="0" w:space="0" w:color="auto"/>
          </w:divBdr>
        </w:div>
      </w:divsChild>
    </w:div>
    <w:div w:id="458381447">
      <w:bodyDiv w:val="1"/>
      <w:marLeft w:val="0"/>
      <w:marRight w:val="0"/>
      <w:marTop w:val="0"/>
      <w:marBottom w:val="0"/>
      <w:divBdr>
        <w:top w:val="none" w:sz="0" w:space="0" w:color="auto"/>
        <w:left w:val="none" w:sz="0" w:space="0" w:color="auto"/>
        <w:bottom w:val="none" w:sz="0" w:space="0" w:color="auto"/>
        <w:right w:val="none" w:sz="0" w:space="0" w:color="auto"/>
      </w:divBdr>
    </w:div>
    <w:div w:id="468740932">
      <w:bodyDiv w:val="1"/>
      <w:marLeft w:val="0"/>
      <w:marRight w:val="0"/>
      <w:marTop w:val="0"/>
      <w:marBottom w:val="0"/>
      <w:divBdr>
        <w:top w:val="none" w:sz="0" w:space="0" w:color="auto"/>
        <w:left w:val="none" w:sz="0" w:space="0" w:color="auto"/>
        <w:bottom w:val="none" w:sz="0" w:space="0" w:color="auto"/>
        <w:right w:val="none" w:sz="0" w:space="0" w:color="auto"/>
      </w:divBdr>
    </w:div>
    <w:div w:id="471170704">
      <w:bodyDiv w:val="1"/>
      <w:marLeft w:val="0"/>
      <w:marRight w:val="0"/>
      <w:marTop w:val="0"/>
      <w:marBottom w:val="0"/>
      <w:divBdr>
        <w:top w:val="none" w:sz="0" w:space="0" w:color="auto"/>
        <w:left w:val="none" w:sz="0" w:space="0" w:color="auto"/>
        <w:bottom w:val="none" w:sz="0" w:space="0" w:color="auto"/>
        <w:right w:val="none" w:sz="0" w:space="0" w:color="auto"/>
      </w:divBdr>
      <w:divsChild>
        <w:div w:id="109739046">
          <w:marLeft w:val="1310"/>
          <w:marRight w:val="0"/>
          <w:marTop w:val="980"/>
          <w:marBottom w:val="0"/>
          <w:divBdr>
            <w:top w:val="none" w:sz="0" w:space="0" w:color="auto"/>
            <w:left w:val="none" w:sz="0" w:space="0" w:color="auto"/>
            <w:bottom w:val="none" w:sz="0" w:space="0" w:color="auto"/>
            <w:right w:val="none" w:sz="0" w:space="0" w:color="auto"/>
          </w:divBdr>
        </w:div>
        <w:div w:id="727725835">
          <w:marLeft w:val="648"/>
          <w:marRight w:val="0"/>
          <w:marTop w:val="980"/>
          <w:marBottom w:val="0"/>
          <w:divBdr>
            <w:top w:val="none" w:sz="0" w:space="0" w:color="auto"/>
            <w:left w:val="none" w:sz="0" w:space="0" w:color="auto"/>
            <w:bottom w:val="none" w:sz="0" w:space="0" w:color="auto"/>
            <w:right w:val="none" w:sz="0" w:space="0" w:color="auto"/>
          </w:divBdr>
        </w:div>
        <w:div w:id="1235159732">
          <w:marLeft w:val="1310"/>
          <w:marRight w:val="0"/>
          <w:marTop w:val="980"/>
          <w:marBottom w:val="0"/>
          <w:divBdr>
            <w:top w:val="none" w:sz="0" w:space="0" w:color="auto"/>
            <w:left w:val="none" w:sz="0" w:space="0" w:color="auto"/>
            <w:bottom w:val="none" w:sz="0" w:space="0" w:color="auto"/>
            <w:right w:val="none" w:sz="0" w:space="0" w:color="auto"/>
          </w:divBdr>
        </w:div>
        <w:div w:id="1252279557">
          <w:marLeft w:val="1310"/>
          <w:marRight w:val="0"/>
          <w:marTop w:val="980"/>
          <w:marBottom w:val="0"/>
          <w:divBdr>
            <w:top w:val="none" w:sz="0" w:space="0" w:color="auto"/>
            <w:left w:val="none" w:sz="0" w:space="0" w:color="auto"/>
            <w:bottom w:val="none" w:sz="0" w:space="0" w:color="auto"/>
            <w:right w:val="none" w:sz="0" w:space="0" w:color="auto"/>
          </w:divBdr>
        </w:div>
      </w:divsChild>
    </w:div>
    <w:div w:id="473525478">
      <w:bodyDiv w:val="1"/>
      <w:marLeft w:val="0"/>
      <w:marRight w:val="0"/>
      <w:marTop w:val="0"/>
      <w:marBottom w:val="0"/>
      <w:divBdr>
        <w:top w:val="none" w:sz="0" w:space="0" w:color="auto"/>
        <w:left w:val="none" w:sz="0" w:space="0" w:color="auto"/>
        <w:bottom w:val="none" w:sz="0" w:space="0" w:color="auto"/>
        <w:right w:val="none" w:sz="0" w:space="0" w:color="auto"/>
      </w:divBdr>
    </w:div>
    <w:div w:id="542325260">
      <w:bodyDiv w:val="1"/>
      <w:marLeft w:val="0"/>
      <w:marRight w:val="0"/>
      <w:marTop w:val="0"/>
      <w:marBottom w:val="0"/>
      <w:divBdr>
        <w:top w:val="none" w:sz="0" w:space="0" w:color="auto"/>
        <w:left w:val="none" w:sz="0" w:space="0" w:color="auto"/>
        <w:bottom w:val="none" w:sz="0" w:space="0" w:color="auto"/>
        <w:right w:val="none" w:sz="0" w:space="0" w:color="auto"/>
      </w:divBdr>
    </w:div>
    <w:div w:id="549925357">
      <w:bodyDiv w:val="1"/>
      <w:marLeft w:val="0"/>
      <w:marRight w:val="0"/>
      <w:marTop w:val="0"/>
      <w:marBottom w:val="0"/>
      <w:divBdr>
        <w:top w:val="none" w:sz="0" w:space="0" w:color="auto"/>
        <w:left w:val="none" w:sz="0" w:space="0" w:color="auto"/>
        <w:bottom w:val="none" w:sz="0" w:space="0" w:color="auto"/>
        <w:right w:val="none" w:sz="0" w:space="0" w:color="auto"/>
      </w:divBdr>
      <w:divsChild>
        <w:div w:id="1882010932">
          <w:marLeft w:val="1181"/>
          <w:marRight w:val="0"/>
          <w:marTop w:val="40"/>
          <w:marBottom w:val="80"/>
          <w:divBdr>
            <w:top w:val="none" w:sz="0" w:space="0" w:color="auto"/>
            <w:left w:val="none" w:sz="0" w:space="0" w:color="auto"/>
            <w:bottom w:val="none" w:sz="0" w:space="0" w:color="auto"/>
            <w:right w:val="none" w:sz="0" w:space="0" w:color="auto"/>
          </w:divBdr>
        </w:div>
      </w:divsChild>
    </w:div>
    <w:div w:id="566382925">
      <w:bodyDiv w:val="1"/>
      <w:marLeft w:val="0"/>
      <w:marRight w:val="0"/>
      <w:marTop w:val="0"/>
      <w:marBottom w:val="0"/>
      <w:divBdr>
        <w:top w:val="none" w:sz="0" w:space="0" w:color="auto"/>
        <w:left w:val="none" w:sz="0" w:space="0" w:color="auto"/>
        <w:bottom w:val="none" w:sz="0" w:space="0" w:color="auto"/>
        <w:right w:val="none" w:sz="0" w:space="0" w:color="auto"/>
      </w:divBdr>
    </w:div>
    <w:div w:id="592124915">
      <w:bodyDiv w:val="1"/>
      <w:marLeft w:val="0"/>
      <w:marRight w:val="0"/>
      <w:marTop w:val="0"/>
      <w:marBottom w:val="0"/>
      <w:divBdr>
        <w:top w:val="none" w:sz="0" w:space="0" w:color="auto"/>
        <w:left w:val="none" w:sz="0" w:space="0" w:color="auto"/>
        <w:bottom w:val="none" w:sz="0" w:space="0" w:color="auto"/>
        <w:right w:val="none" w:sz="0" w:space="0" w:color="auto"/>
      </w:divBdr>
    </w:div>
    <w:div w:id="614364643">
      <w:bodyDiv w:val="1"/>
      <w:marLeft w:val="0"/>
      <w:marRight w:val="0"/>
      <w:marTop w:val="0"/>
      <w:marBottom w:val="0"/>
      <w:divBdr>
        <w:top w:val="none" w:sz="0" w:space="0" w:color="auto"/>
        <w:left w:val="none" w:sz="0" w:space="0" w:color="auto"/>
        <w:bottom w:val="none" w:sz="0" w:space="0" w:color="auto"/>
        <w:right w:val="none" w:sz="0" w:space="0" w:color="auto"/>
      </w:divBdr>
    </w:div>
    <w:div w:id="645938400">
      <w:bodyDiv w:val="1"/>
      <w:marLeft w:val="0"/>
      <w:marRight w:val="0"/>
      <w:marTop w:val="0"/>
      <w:marBottom w:val="0"/>
      <w:divBdr>
        <w:top w:val="none" w:sz="0" w:space="0" w:color="auto"/>
        <w:left w:val="none" w:sz="0" w:space="0" w:color="auto"/>
        <w:bottom w:val="none" w:sz="0" w:space="0" w:color="auto"/>
        <w:right w:val="none" w:sz="0" w:space="0" w:color="auto"/>
      </w:divBdr>
    </w:div>
    <w:div w:id="646978413">
      <w:bodyDiv w:val="1"/>
      <w:marLeft w:val="0"/>
      <w:marRight w:val="0"/>
      <w:marTop w:val="0"/>
      <w:marBottom w:val="0"/>
      <w:divBdr>
        <w:top w:val="none" w:sz="0" w:space="0" w:color="auto"/>
        <w:left w:val="none" w:sz="0" w:space="0" w:color="auto"/>
        <w:bottom w:val="none" w:sz="0" w:space="0" w:color="auto"/>
        <w:right w:val="none" w:sz="0" w:space="0" w:color="auto"/>
      </w:divBdr>
      <w:divsChild>
        <w:div w:id="49353503">
          <w:marLeft w:val="1181"/>
          <w:marRight w:val="0"/>
          <w:marTop w:val="40"/>
          <w:marBottom w:val="80"/>
          <w:divBdr>
            <w:top w:val="none" w:sz="0" w:space="0" w:color="auto"/>
            <w:left w:val="none" w:sz="0" w:space="0" w:color="auto"/>
            <w:bottom w:val="none" w:sz="0" w:space="0" w:color="auto"/>
            <w:right w:val="none" w:sz="0" w:space="0" w:color="auto"/>
          </w:divBdr>
        </w:div>
        <w:div w:id="267588058">
          <w:marLeft w:val="1469"/>
          <w:marRight w:val="0"/>
          <w:marTop w:val="40"/>
          <w:marBottom w:val="80"/>
          <w:divBdr>
            <w:top w:val="none" w:sz="0" w:space="0" w:color="auto"/>
            <w:left w:val="none" w:sz="0" w:space="0" w:color="auto"/>
            <w:bottom w:val="none" w:sz="0" w:space="0" w:color="auto"/>
            <w:right w:val="none" w:sz="0" w:space="0" w:color="auto"/>
          </w:divBdr>
        </w:div>
        <w:div w:id="443693868">
          <w:marLeft w:val="1181"/>
          <w:marRight w:val="0"/>
          <w:marTop w:val="40"/>
          <w:marBottom w:val="80"/>
          <w:divBdr>
            <w:top w:val="none" w:sz="0" w:space="0" w:color="auto"/>
            <w:left w:val="none" w:sz="0" w:space="0" w:color="auto"/>
            <w:bottom w:val="none" w:sz="0" w:space="0" w:color="auto"/>
            <w:right w:val="none" w:sz="0" w:space="0" w:color="auto"/>
          </w:divBdr>
        </w:div>
        <w:div w:id="580717681">
          <w:marLeft w:val="1469"/>
          <w:marRight w:val="0"/>
          <w:marTop w:val="40"/>
          <w:marBottom w:val="80"/>
          <w:divBdr>
            <w:top w:val="none" w:sz="0" w:space="0" w:color="auto"/>
            <w:left w:val="none" w:sz="0" w:space="0" w:color="auto"/>
            <w:bottom w:val="none" w:sz="0" w:space="0" w:color="auto"/>
            <w:right w:val="none" w:sz="0" w:space="0" w:color="auto"/>
          </w:divBdr>
        </w:div>
        <w:div w:id="587925834">
          <w:marLeft w:val="1469"/>
          <w:marRight w:val="0"/>
          <w:marTop w:val="40"/>
          <w:marBottom w:val="80"/>
          <w:divBdr>
            <w:top w:val="none" w:sz="0" w:space="0" w:color="auto"/>
            <w:left w:val="none" w:sz="0" w:space="0" w:color="auto"/>
            <w:bottom w:val="none" w:sz="0" w:space="0" w:color="auto"/>
            <w:right w:val="none" w:sz="0" w:space="0" w:color="auto"/>
          </w:divBdr>
        </w:div>
        <w:div w:id="898900796">
          <w:marLeft w:val="1181"/>
          <w:marRight w:val="0"/>
          <w:marTop w:val="40"/>
          <w:marBottom w:val="80"/>
          <w:divBdr>
            <w:top w:val="none" w:sz="0" w:space="0" w:color="auto"/>
            <w:left w:val="none" w:sz="0" w:space="0" w:color="auto"/>
            <w:bottom w:val="none" w:sz="0" w:space="0" w:color="auto"/>
            <w:right w:val="none" w:sz="0" w:space="0" w:color="auto"/>
          </w:divBdr>
        </w:div>
        <w:div w:id="1199199131">
          <w:marLeft w:val="806"/>
          <w:marRight w:val="0"/>
          <w:marTop w:val="240"/>
          <w:marBottom w:val="40"/>
          <w:divBdr>
            <w:top w:val="none" w:sz="0" w:space="0" w:color="auto"/>
            <w:left w:val="none" w:sz="0" w:space="0" w:color="auto"/>
            <w:bottom w:val="none" w:sz="0" w:space="0" w:color="auto"/>
            <w:right w:val="none" w:sz="0" w:space="0" w:color="auto"/>
          </w:divBdr>
        </w:div>
        <w:div w:id="1503006355">
          <w:marLeft w:val="1181"/>
          <w:marRight w:val="0"/>
          <w:marTop w:val="40"/>
          <w:marBottom w:val="80"/>
          <w:divBdr>
            <w:top w:val="none" w:sz="0" w:space="0" w:color="auto"/>
            <w:left w:val="none" w:sz="0" w:space="0" w:color="auto"/>
            <w:bottom w:val="none" w:sz="0" w:space="0" w:color="auto"/>
            <w:right w:val="none" w:sz="0" w:space="0" w:color="auto"/>
          </w:divBdr>
        </w:div>
        <w:div w:id="1601910603">
          <w:marLeft w:val="1181"/>
          <w:marRight w:val="0"/>
          <w:marTop w:val="40"/>
          <w:marBottom w:val="80"/>
          <w:divBdr>
            <w:top w:val="none" w:sz="0" w:space="0" w:color="auto"/>
            <w:left w:val="none" w:sz="0" w:space="0" w:color="auto"/>
            <w:bottom w:val="none" w:sz="0" w:space="0" w:color="auto"/>
            <w:right w:val="none" w:sz="0" w:space="0" w:color="auto"/>
          </w:divBdr>
        </w:div>
        <w:div w:id="1776946592">
          <w:marLeft w:val="1469"/>
          <w:marRight w:val="0"/>
          <w:marTop w:val="40"/>
          <w:marBottom w:val="80"/>
          <w:divBdr>
            <w:top w:val="none" w:sz="0" w:space="0" w:color="auto"/>
            <w:left w:val="none" w:sz="0" w:space="0" w:color="auto"/>
            <w:bottom w:val="none" w:sz="0" w:space="0" w:color="auto"/>
            <w:right w:val="none" w:sz="0" w:space="0" w:color="auto"/>
          </w:divBdr>
        </w:div>
        <w:div w:id="2042777291">
          <w:marLeft w:val="1469"/>
          <w:marRight w:val="0"/>
          <w:marTop w:val="40"/>
          <w:marBottom w:val="80"/>
          <w:divBdr>
            <w:top w:val="none" w:sz="0" w:space="0" w:color="auto"/>
            <w:left w:val="none" w:sz="0" w:space="0" w:color="auto"/>
            <w:bottom w:val="none" w:sz="0" w:space="0" w:color="auto"/>
            <w:right w:val="none" w:sz="0" w:space="0" w:color="auto"/>
          </w:divBdr>
        </w:div>
      </w:divsChild>
    </w:div>
    <w:div w:id="683558397">
      <w:bodyDiv w:val="1"/>
      <w:marLeft w:val="0"/>
      <w:marRight w:val="0"/>
      <w:marTop w:val="0"/>
      <w:marBottom w:val="0"/>
      <w:divBdr>
        <w:top w:val="none" w:sz="0" w:space="0" w:color="auto"/>
        <w:left w:val="none" w:sz="0" w:space="0" w:color="auto"/>
        <w:bottom w:val="none" w:sz="0" w:space="0" w:color="auto"/>
        <w:right w:val="none" w:sz="0" w:space="0" w:color="auto"/>
      </w:divBdr>
    </w:div>
    <w:div w:id="704722401">
      <w:bodyDiv w:val="1"/>
      <w:marLeft w:val="0"/>
      <w:marRight w:val="0"/>
      <w:marTop w:val="0"/>
      <w:marBottom w:val="0"/>
      <w:divBdr>
        <w:top w:val="none" w:sz="0" w:space="0" w:color="auto"/>
        <w:left w:val="none" w:sz="0" w:space="0" w:color="auto"/>
        <w:bottom w:val="none" w:sz="0" w:space="0" w:color="auto"/>
        <w:right w:val="none" w:sz="0" w:space="0" w:color="auto"/>
      </w:divBdr>
    </w:div>
    <w:div w:id="714736046">
      <w:bodyDiv w:val="1"/>
      <w:marLeft w:val="0"/>
      <w:marRight w:val="0"/>
      <w:marTop w:val="0"/>
      <w:marBottom w:val="0"/>
      <w:divBdr>
        <w:top w:val="none" w:sz="0" w:space="0" w:color="auto"/>
        <w:left w:val="none" w:sz="0" w:space="0" w:color="auto"/>
        <w:bottom w:val="none" w:sz="0" w:space="0" w:color="auto"/>
        <w:right w:val="none" w:sz="0" w:space="0" w:color="auto"/>
      </w:divBdr>
      <w:divsChild>
        <w:div w:id="54092773">
          <w:marLeft w:val="1181"/>
          <w:marRight w:val="0"/>
          <w:marTop w:val="40"/>
          <w:marBottom w:val="80"/>
          <w:divBdr>
            <w:top w:val="none" w:sz="0" w:space="0" w:color="auto"/>
            <w:left w:val="none" w:sz="0" w:space="0" w:color="auto"/>
            <w:bottom w:val="none" w:sz="0" w:space="0" w:color="auto"/>
            <w:right w:val="none" w:sz="0" w:space="0" w:color="auto"/>
          </w:divBdr>
        </w:div>
        <w:div w:id="169099819">
          <w:marLeft w:val="1181"/>
          <w:marRight w:val="0"/>
          <w:marTop w:val="40"/>
          <w:marBottom w:val="80"/>
          <w:divBdr>
            <w:top w:val="none" w:sz="0" w:space="0" w:color="auto"/>
            <w:left w:val="none" w:sz="0" w:space="0" w:color="auto"/>
            <w:bottom w:val="none" w:sz="0" w:space="0" w:color="auto"/>
            <w:right w:val="none" w:sz="0" w:space="0" w:color="auto"/>
          </w:divBdr>
        </w:div>
        <w:div w:id="669529383">
          <w:marLeft w:val="1181"/>
          <w:marRight w:val="0"/>
          <w:marTop w:val="40"/>
          <w:marBottom w:val="80"/>
          <w:divBdr>
            <w:top w:val="none" w:sz="0" w:space="0" w:color="auto"/>
            <w:left w:val="none" w:sz="0" w:space="0" w:color="auto"/>
            <w:bottom w:val="none" w:sz="0" w:space="0" w:color="auto"/>
            <w:right w:val="none" w:sz="0" w:space="0" w:color="auto"/>
          </w:divBdr>
        </w:div>
        <w:div w:id="726296987">
          <w:marLeft w:val="806"/>
          <w:marRight w:val="0"/>
          <w:marTop w:val="240"/>
          <w:marBottom w:val="40"/>
          <w:divBdr>
            <w:top w:val="none" w:sz="0" w:space="0" w:color="auto"/>
            <w:left w:val="none" w:sz="0" w:space="0" w:color="auto"/>
            <w:bottom w:val="none" w:sz="0" w:space="0" w:color="auto"/>
            <w:right w:val="none" w:sz="0" w:space="0" w:color="auto"/>
          </w:divBdr>
        </w:div>
        <w:div w:id="749037264">
          <w:marLeft w:val="1181"/>
          <w:marRight w:val="0"/>
          <w:marTop w:val="40"/>
          <w:marBottom w:val="80"/>
          <w:divBdr>
            <w:top w:val="none" w:sz="0" w:space="0" w:color="auto"/>
            <w:left w:val="none" w:sz="0" w:space="0" w:color="auto"/>
            <w:bottom w:val="none" w:sz="0" w:space="0" w:color="auto"/>
            <w:right w:val="none" w:sz="0" w:space="0" w:color="auto"/>
          </w:divBdr>
        </w:div>
        <w:div w:id="832527713">
          <w:marLeft w:val="1181"/>
          <w:marRight w:val="0"/>
          <w:marTop w:val="40"/>
          <w:marBottom w:val="80"/>
          <w:divBdr>
            <w:top w:val="none" w:sz="0" w:space="0" w:color="auto"/>
            <w:left w:val="none" w:sz="0" w:space="0" w:color="auto"/>
            <w:bottom w:val="none" w:sz="0" w:space="0" w:color="auto"/>
            <w:right w:val="none" w:sz="0" w:space="0" w:color="auto"/>
          </w:divBdr>
        </w:div>
        <w:div w:id="897522094">
          <w:marLeft w:val="1181"/>
          <w:marRight w:val="0"/>
          <w:marTop w:val="40"/>
          <w:marBottom w:val="80"/>
          <w:divBdr>
            <w:top w:val="none" w:sz="0" w:space="0" w:color="auto"/>
            <w:left w:val="none" w:sz="0" w:space="0" w:color="auto"/>
            <w:bottom w:val="none" w:sz="0" w:space="0" w:color="auto"/>
            <w:right w:val="none" w:sz="0" w:space="0" w:color="auto"/>
          </w:divBdr>
        </w:div>
        <w:div w:id="990409558">
          <w:marLeft w:val="1181"/>
          <w:marRight w:val="0"/>
          <w:marTop w:val="40"/>
          <w:marBottom w:val="80"/>
          <w:divBdr>
            <w:top w:val="none" w:sz="0" w:space="0" w:color="auto"/>
            <w:left w:val="none" w:sz="0" w:space="0" w:color="auto"/>
            <w:bottom w:val="none" w:sz="0" w:space="0" w:color="auto"/>
            <w:right w:val="none" w:sz="0" w:space="0" w:color="auto"/>
          </w:divBdr>
        </w:div>
        <w:div w:id="1426926074">
          <w:marLeft w:val="1181"/>
          <w:marRight w:val="0"/>
          <w:marTop w:val="40"/>
          <w:marBottom w:val="80"/>
          <w:divBdr>
            <w:top w:val="none" w:sz="0" w:space="0" w:color="auto"/>
            <w:left w:val="none" w:sz="0" w:space="0" w:color="auto"/>
            <w:bottom w:val="none" w:sz="0" w:space="0" w:color="auto"/>
            <w:right w:val="none" w:sz="0" w:space="0" w:color="auto"/>
          </w:divBdr>
        </w:div>
        <w:div w:id="1997756427">
          <w:marLeft w:val="806"/>
          <w:marRight w:val="0"/>
          <w:marTop w:val="240"/>
          <w:marBottom w:val="40"/>
          <w:divBdr>
            <w:top w:val="none" w:sz="0" w:space="0" w:color="auto"/>
            <w:left w:val="none" w:sz="0" w:space="0" w:color="auto"/>
            <w:bottom w:val="none" w:sz="0" w:space="0" w:color="auto"/>
            <w:right w:val="none" w:sz="0" w:space="0" w:color="auto"/>
          </w:divBdr>
        </w:div>
        <w:div w:id="2068145727">
          <w:marLeft w:val="1181"/>
          <w:marRight w:val="0"/>
          <w:marTop w:val="40"/>
          <w:marBottom w:val="80"/>
          <w:divBdr>
            <w:top w:val="none" w:sz="0" w:space="0" w:color="auto"/>
            <w:left w:val="none" w:sz="0" w:space="0" w:color="auto"/>
            <w:bottom w:val="none" w:sz="0" w:space="0" w:color="auto"/>
            <w:right w:val="none" w:sz="0" w:space="0" w:color="auto"/>
          </w:divBdr>
        </w:div>
        <w:div w:id="2091003216">
          <w:marLeft w:val="1181"/>
          <w:marRight w:val="0"/>
          <w:marTop w:val="40"/>
          <w:marBottom w:val="80"/>
          <w:divBdr>
            <w:top w:val="none" w:sz="0" w:space="0" w:color="auto"/>
            <w:left w:val="none" w:sz="0" w:space="0" w:color="auto"/>
            <w:bottom w:val="none" w:sz="0" w:space="0" w:color="auto"/>
            <w:right w:val="none" w:sz="0" w:space="0" w:color="auto"/>
          </w:divBdr>
        </w:div>
        <w:div w:id="2128086688">
          <w:marLeft w:val="1181"/>
          <w:marRight w:val="0"/>
          <w:marTop w:val="40"/>
          <w:marBottom w:val="80"/>
          <w:divBdr>
            <w:top w:val="none" w:sz="0" w:space="0" w:color="auto"/>
            <w:left w:val="none" w:sz="0" w:space="0" w:color="auto"/>
            <w:bottom w:val="none" w:sz="0" w:space="0" w:color="auto"/>
            <w:right w:val="none" w:sz="0" w:space="0" w:color="auto"/>
          </w:divBdr>
        </w:div>
      </w:divsChild>
    </w:div>
    <w:div w:id="717124946">
      <w:bodyDiv w:val="1"/>
      <w:marLeft w:val="0"/>
      <w:marRight w:val="0"/>
      <w:marTop w:val="0"/>
      <w:marBottom w:val="0"/>
      <w:divBdr>
        <w:top w:val="none" w:sz="0" w:space="0" w:color="auto"/>
        <w:left w:val="none" w:sz="0" w:space="0" w:color="auto"/>
        <w:bottom w:val="none" w:sz="0" w:space="0" w:color="auto"/>
        <w:right w:val="none" w:sz="0" w:space="0" w:color="auto"/>
      </w:divBdr>
    </w:div>
    <w:div w:id="723799187">
      <w:bodyDiv w:val="1"/>
      <w:marLeft w:val="0"/>
      <w:marRight w:val="0"/>
      <w:marTop w:val="0"/>
      <w:marBottom w:val="0"/>
      <w:divBdr>
        <w:top w:val="none" w:sz="0" w:space="0" w:color="auto"/>
        <w:left w:val="none" w:sz="0" w:space="0" w:color="auto"/>
        <w:bottom w:val="none" w:sz="0" w:space="0" w:color="auto"/>
        <w:right w:val="none" w:sz="0" w:space="0" w:color="auto"/>
      </w:divBdr>
    </w:div>
    <w:div w:id="732891101">
      <w:bodyDiv w:val="1"/>
      <w:marLeft w:val="0"/>
      <w:marRight w:val="0"/>
      <w:marTop w:val="0"/>
      <w:marBottom w:val="0"/>
      <w:divBdr>
        <w:top w:val="none" w:sz="0" w:space="0" w:color="auto"/>
        <w:left w:val="none" w:sz="0" w:space="0" w:color="auto"/>
        <w:bottom w:val="none" w:sz="0" w:space="0" w:color="auto"/>
        <w:right w:val="none" w:sz="0" w:space="0" w:color="auto"/>
      </w:divBdr>
      <w:divsChild>
        <w:div w:id="151261429">
          <w:marLeft w:val="1181"/>
          <w:marRight w:val="0"/>
          <w:marTop w:val="40"/>
          <w:marBottom w:val="80"/>
          <w:divBdr>
            <w:top w:val="none" w:sz="0" w:space="0" w:color="auto"/>
            <w:left w:val="none" w:sz="0" w:space="0" w:color="auto"/>
            <w:bottom w:val="none" w:sz="0" w:space="0" w:color="auto"/>
            <w:right w:val="none" w:sz="0" w:space="0" w:color="auto"/>
          </w:divBdr>
        </w:div>
        <w:div w:id="805245721">
          <w:marLeft w:val="1181"/>
          <w:marRight w:val="0"/>
          <w:marTop w:val="40"/>
          <w:marBottom w:val="80"/>
          <w:divBdr>
            <w:top w:val="none" w:sz="0" w:space="0" w:color="auto"/>
            <w:left w:val="none" w:sz="0" w:space="0" w:color="auto"/>
            <w:bottom w:val="none" w:sz="0" w:space="0" w:color="auto"/>
            <w:right w:val="none" w:sz="0" w:space="0" w:color="auto"/>
          </w:divBdr>
        </w:div>
        <w:div w:id="941910558">
          <w:marLeft w:val="1181"/>
          <w:marRight w:val="0"/>
          <w:marTop w:val="40"/>
          <w:marBottom w:val="80"/>
          <w:divBdr>
            <w:top w:val="none" w:sz="0" w:space="0" w:color="auto"/>
            <w:left w:val="none" w:sz="0" w:space="0" w:color="auto"/>
            <w:bottom w:val="none" w:sz="0" w:space="0" w:color="auto"/>
            <w:right w:val="none" w:sz="0" w:space="0" w:color="auto"/>
          </w:divBdr>
        </w:div>
        <w:div w:id="1038359751">
          <w:marLeft w:val="1181"/>
          <w:marRight w:val="0"/>
          <w:marTop w:val="40"/>
          <w:marBottom w:val="80"/>
          <w:divBdr>
            <w:top w:val="none" w:sz="0" w:space="0" w:color="auto"/>
            <w:left w:val="none" w:sz="0" w:space="0" w:color="auto"/>
            <w:bottom w:val="none" w:sz="0" w:space="0" w:color="auto"/>
            <w:right w:val="none" w:sz="0" w:space="0" w:color="auto"/>
          </w:divBdr>
        </w:div>
        <w:div w:id="1341349139">
          <w:marLeft w:val="1181"/>
          <w:marRight w:val="0"/>
          <w:marTop w:val="40"/>
          <w:marBottom w:val="80"/>
          <w:divBdr>
            <w:top w:val="none" w:sz="0" w:space="0" w:color="auto"/>
            <w:left w:val="none" w:sz="0" w:space="0" w:color="auto"/>
            <w:bottom w:val="none" w:sz="0" w:space="0" w:color="auto"/>
            <w:right w:val="none" w:sz="0" w:space="0" w:color="auto"/>
          </w:divBdr>
        </w:div>
        <w:div w:id="1762528400">
          <w:marLeft w:val="1181"/>
          <w:marRight w:val="0"/>
          <w:marTop w:val="40"/>
          <w:marBottom w:val="80"/>
          <w:divBdr>
            <w:top w:val="none" w:sz="0" w:space="0" w:color="auto"/>
            <w:left w:val="none" w:sz="0" w:space="0" w:color="auto"/>
            <w:bottom w:val="none" w:sz="0" w:space="0" w:color="auto"/>
            <w:right w:val="none" w:sz="0" w:space="0" w:color="auto"/>
          </w:divBdr>
        </w:div>
      </w:divsChild>
    </w:div>
    <w:div w:id="747574169">
      <w:bodyDiv w:val="1"/>
      <w:marLeft w:val="0"/>
      <w:marRight w:val="0"/>
      <w:marTop w:val="0"/>
      <w:marBottom w:val="0"/>
      <w:divBdr>
        <w:top w:val="none" w:sz="0" w:space="0" w:color="auto"/>
        <w:left w:val="none" w:sz="0" w:space="0" w:color="auto"/>
        <w:bottom w:val="none" w:sz="0" w:space="0" w:color="auto"/>
        <w:right w:val="none" w:sz="0" w:space="0" w:color="auto"/>
      </w:divBdr>
      <w:divsChild>
        <w:div w:id="265769425">
          <w:marLeft w:val="1267"/>
          <w:marRight w:val="0"/>
          <w:marTop w:val="40"/>
          <w:marBottom w:val="80"/>
          <w:divBdr>
            <w:top w:val="none" w:sz="0" w:space="0" w:color="auto"/>
            <w:left w:val="none" w:sz="0" w:space="0" w:color="auto"/>
            <w:bottom w:val="none" w:sz="0" w:space="0" w:color="auto"/>
            <w:right w:val="none" w:sz="0" w:space="0" w:color="auto"/>
          </w:divBdr>
        </w:div>
        <w:div w:id="654341063">
          <w:marLeft w:val="1469"/>
          <w:marRight w:val="0"/>
          <w:marTop w:val="40"/>
          <w:marBottom w:val="80"/>
          <w:divBdr>
            <w:top w:val="none" w:sz="0" w:space="0" w:color="auto"/>
            <w:left w:val="none" w:sz="0" w:space="0" w:color="auto"/>
            <w:bottom w:val="none" w:sz="0" w:space="0" w:color="auto"/>
            <w:right w:val="none" w:sz="0" w:space="0" w:color="auto"/>
          </w:divBdr>
        </w:div>
        <w:div w:id="1152404312">
          <w:marLeft w:val="1469"/>
          <w:marRight w:val="0"/>
          <w:marTop w:val="40"/>
          <w:marBottom w:val="80"/>
          <w:divBdr>
            <w:top w:val="none" w:sz="0" w:space="0" w:color="auto"/>
            <w:left w:val="none" w:sz="0" w:space="0" w:color="auto"/>
            <w:bottom w:val="none" w:sz="0" w:space="0" w:color="auto"/>
            <w:right w:val="none" w:sz="0" w:space="0" w:color="auto"/>
          </w:divBdr>
        </w:div>
        <w:div w:id="1211962832">
          <w:marLeft w:val="806"/>
          <w:marRight w:val="0"/>
          <w:marTop w:val="240"/>
          <w:marBottom w:val="40"/>
          <w:divBdr>
            <w:top w:val="none" w:sz="0" w:space="0" w:color="auto"/>
            <w:left w:val="none" w:sz="0" w:space="0" w:color="auto"/>
            <w:bottom w:val="none" w:sz="0" w:space="0" w:color="auto"/>
            <w:right w:val="none" w:sz="0" w:space="0" w:color="auto"/>
          </w:divBdr>
        </w:div>
        <w:div w:id="1361004891">
          <w:marLeft w:val="1267"/>
          <w:marRight w:val="0"/>
          <w:marTop w:val="40"/>
          <w:marBottom w:val="80"/>
          <w:divBdr>
            <w:top w:val="none" w:sz="0" w:space="0" w:color="auto"/>
            <w:left w:val="none" w:sz="0" w:space="0" w:color="auto"/>
            <w:bottom w:val="none" w:sz="0" w:space="0" w:color="auto"/>
            <w:right w:val="none" w:sz="0" w:space="0" w:color="auto"/>
          </w:divBdr>
        </w:div>
        <w:div w:id="1725175602">
          <w:marLeft w:val="1469"/>
          <w:marRight w:val="0"/>
          <w:marTop w:val="40"/>
          <w:marBottom w:val="80"/>
          <w:divBdr>
            <w:top w:val="none" w:sz="0" w:space="0" w:color="auto"/>
            <w:left w:val="none" w:sz="0" w:space="0" w:color="auto"/>
            <w:bottom w:val="none" w:sz="0" w:space="0" w:color="auto"/>
            <w:right w:val="none" w:sz="0" w:space="0" w:color="auto"/>
          </w:divBdr>
        </w:div>
        <w:div w:id="1787582117">
          <w:marLeft w:val="1469"/>
          <w:marRight w:val="0"/>
          <w:marTop w:val="40"/>
          <w:marBottom w:val="80"/>
          <w:divBdr>
            <w:top w:val="none" w:sz="0" w:space="0" w:color="auto"/>
            <w:left w:val="none" w:sz="0" w:space="0" w:color="auto"/>
            <w:bottom w:val="none" w:sz="0" w:space="0" w:color="auto"/>
            <w:right w:val="none" w:sz="0" w:space="0" w:color="auto"/>
          </w:divBdr>
        </w:div>
        <w:div w:id="1793474236">
          <w:marLeft w:val="1181"/>
          <w:marRight w:val="0"/>
          <w:marTop w:val="40"/>
          <w:marBottom w:val="80"/>
          <w:divBdr>
            <w:top w:val="none" w:sz="0" w:space="0" w:color="auto"/>
            <w:left w:val="none" w:sz="0" w:space="0" w:color="auto"/>
            <w:bottom w:val="none" w:sz="0" w:space="0" w:color="auto"/>
            <w:right w:val="none" w:sz="0" w:space="0" w:color="auto"/>
          </w:divBdr>
        </w:div>
        <w:div w:id="1812401518">
          <w:marLeft w:val="720"/>
          <w:marRight w:val="0"/>
          <w:marTop w:val="240"/>
          <w:marBottom w:val="40"/>
          <w:divBdr>
            <w:top w:val="none" w:sz="0" w:space="0" w:color="auto"/>
            <w:left w:val="none" w:sz="0" w:space="0" w:color="auto"/>
            <w:bottom w:val="none" w:sz="0" w:space="0" w:color="auto"/>
            <w:right w:val="none" w:sz="0" w:space="0" w:color="auto"/>
          </w:divBdr>
        </w:div>
        <w:div w:id="2057582277">
          <w:marLeft w:val="1267"/>
          <w:marRight w:val="0"/>
          <w:marTop w:val="40"/>
          <w:marBottom w:val="80"/>
          <w:divBdr>
            <w:top w:val="none" w:sz="0" w:space="0" w:color="auto"/>
            <w:left w:val="none" w:sz="0" w:space="0" w:color="auto"/>
            <w:bottom w:val="none" w:sz="0" w:space="0" w:color="auto"/>
            <w:right w:val="none" w:sz="0" w:space="0" w:color="auto"/>
          </w:divBdr>
        </w:div>
      </w:divsChild>
    </w:div>
    <w:div w:id="750928840">
      <w:bodyDiv w:val="1"/>
      <w:marLeft w:val="0"/>
      <w:marRight w:val="0"/>
      <w:marTop w:val="0"/>
      <w:marBottom w:val="0"/>
      <w:divBdr>
        <w:top w:val="none" w:sz="0" w:space="0" w:color="auto"/>
        <w:left w:val="none" w:sz="0" w:space="0" w:color="auto"/>
        <w:bottom w:val="none" w:sz="0" w:space="0" w:color="auto"/>
        <w:right w:val="none" w:sz="0" w:space="0" w:color="auto"/>
      </w:divBdr>
    </w:div>
    <w:div w:id="823738388">
      <w:bodyDiv w:val="1"/>
      <w:marLeft w:val="0"/>
      <w:marRight w:val="0"/>
      <w:marTop w:val="0"/>
      <w:marBottom w:val="0"/>
      <w:divBdr>
        <w:top w:val="none" w:sz="0" w:space="0" w:color="auto"/>
        <w:left w:val="none" w:sz="0" w:space="0" w:color="auto"/>
        <w:bottom w:val="none" w:sz="0" w:space="0" w:color="auto"/>
        <w:right w:val="none" w:sz="0" w:space="0" w:color="auto"/>
      </w:divBdr>
    </w:div>
    <w:div w:id="830174189">
      <w:bodyDiv w:val="1"/>
      <w:marLeft w:val="0"/>
      <w:marRight w:val="0"/>
      <w:marTop w:val="0"/>
      <w:marBottom w:val="0"/>
      <w:divBdr>
        <w:top w:val="none" w:sz="0" w:space="0" w:color="auto"/>
        <w:left w:val="none" w:sz="0" w:space="0" w:color="auto"/>
        <w:bottom w:val="none" w:sz="0" w:space="0" w:color="auto"/>
        <w:right w:val="none" w:sz="0" w:space="0" w:color="auto"/>
      </w:divBdr>
    </w:div>
    <w:div w:id="838539792">
      <w:bodyDiv w:val="1"/>
      <w:marLeft w:val="0"/>
      <w:marRight w:val="0"/>
      <w:marTop w:val="0"/>
      <w:marBottom w:val="0"/>
      <w:divBdr>
        <w:top w:val="none" w:sz="0" w:space="0" w:color="auto"/>
        <w:left w:val="none" w:sz="0" w:space="0" w:color="auto"/>
        <w:bottom w:val="none" w:sz="0" w:space="0" w:color="auto"/>
        <w:right w:val="none" w:sz="0" w:space="0" w:color="auto"/>
      </w:divBdr>
      <w:divsChild>
        <w:div w:id="6715978">
          <w:marLeft w:val="1181"/>
          <w:marRight w:val="0"/>
          <w:marTop w:val="40"/>
          <w:marBottom w:val="80"/>
          <w:divBdr>
            <w:top w:val="none" w:sz="0" w:space="0" w:color="auto"/>
            <w:left w:val="none" w:sz="0" w:space="0" w:color="auto"/>
            <w:bottom w:val="none" w:sz="0" w:space="0" w:color="auto"/>
            <w:right w:val="none" w:sz="0" w:space="0" w:color="auto"/>
          </w:divBdr>
        </w:div>
        <w:div w:id="141238080">
          <w:marLeft w:val="1181"/>
          <w:marRight w:val="0"/>
          <w:marTop w:val="40"/>
          <w:marBottom w:val="80"/>
          <w:divBdr>
            <w:top w:val="none" w:sz="0" w:space="0" w:color="auto"/>
            <w:left w:val="none" w:sz="0" w:space="0" w:color="auto"/>
            <w:bottom w:val="none" w:sz="0" w:space="0" w:color="auto"/>
            <w:right w:val="none" w:sz="0" w:space="0" w:color="auto"/>
          </w:divBdr>
        </w:div>
        <w:div w:id="371928702">
          <w:marLeft w:val="1181"/>
          <w:marRight w:val="0"/>
          <w:marTop w:val="40"/>
          <w:marBottom w:val="80"/>
          <w:divBdr>
            <w:top w:val="none" w:sz="0" w:space="0" w:color="auto"/>
            <w:left w:val="none" w:sz="0" w:space="0" w:color="auto"/>
            <w:bottom w:val="none" w:sz="0" w:space="0" w:color="auto"/>
            <w:right w:val="none" w:sz="0" w:space="0" w:color="auto"/>
          </w:divBdr>
        </w:div>
        <w:div w:id="635338154">
          <w:marLeft w:val="1181"/>
          <w:marRight w:val="0"/>
          <w:marTop w:val="40"/>
          <w:marBottom w:val="80"/>
          <w:divBdr>
            <w:top w:val="none" w:sz="0" w:space="0" w:color="auto"/>
            <w:left w:val="none" w:sz="0" w:space="0" w:color="auto"/>
            <w:bottom w:val="none" w:sz="0" w:space="0" w:color="auto"/>
            <w:right w:val="none" w:sz="0" w:space="0" w:color="auto"/>
          </w:divBdr>
        </w:div>
        <w:div w:id="839009660">
          <w:marLeft w:val="1181"/>
          <w:marRight w:val="0"/>
          <w:marTop w:val="40"/>
          <w:marBottom w:val="80"/>
          <w:divBdr>
            <w:top w:val="none" w:sz="0" w:space="0" w:color="auto"/>
            <w:left w:val="none" w:sz="0" w:space="0" w:color="auto"/>
            <w:bottom w:val="none" w:sz="0" w:space="0" w:color="auto"/>
            <w:right w:val="none" w:sz="0" w:space="0" w:color="auto"/>
          </w:divBdr>
        </w:div>
        <w:div w:id="1427119409">
          <w:marLeft w:val="806"/>
          <w:marRight w:val="0"/>
          <w:marTop w:val="240"/>
          <w:marBottom w:val="40"/>
          <w:divBdr>
            <w:top w:val="none" w:sz="0" w:space="0" w:color="auto"/>
            <w:left w:val="none" w:sz="0" w:space="0" w:color="auto"/>
            <w:bottom w:val="none" w:sz="0" w:space="0" w:color="auto"/>
            <w:right w:val="none" w:sz="0" w:space="0" w:color="auto"/>
          </w:divBdr>
        </w:div>
        <w:div w:id="1555383738">
          <w:marLeft w:val="806"/>
          <w:marRight w:val="0"/>
          <w:marTop w:val="240"/>
          <w:marBottom w:val="40"/>
          <w:divBdr>
            <w:top w:val="none" w:sz="0" w:space="0" w:color="auto"/>
            <w:left w:val="none" w:sz="0" w:space="0" w:color="auto"/>
            <w:bottom w:val="none" w:sz="0" w:space="0" w:color="auto"/>
            <w:right w:val="none" w:sz="0" w:space="0" w:color="auto"/>
          </w:divBdr>
        </w:div>
        <w:div w:id="1793136992">
          <w:marLeft w:val="1181"/>
          <w:marRight w:val="0"/>
          <w:marTop w:val="40"/>
          <w:marBottom w:val="80"/>
          <w:divBdr>
            <w:top w:val="none" w:sz="0" w:space="0" w:color="auto"/>
            <w:left w:val="none" w:sz="0" w:space="0" w:color="auto"/>
            <w:bottom w:val="none" w:sz="0" w:space="0" w:color="auto"/>
            <w:right w:val="none" w:sz="0" w:space="0" w:color="auto"/>
          </w:divBdr>
        </w:div>
      </w:divsChild>
    </w:div>
    <w:div w:id="883448389">
      <w:bodyDiv w:val="1"/>
      <w:marLeft w:val="0"/>
      <w:marRight w:val="0"/>
      <w:marTop w:val="0"/>
      <w:marBottom w:val="0"/>
      <w:divBdr>
        <w:top w:val="none" w:sz="0" w:space="0" w:color="auto"/>
        <w:left w:val="none" w:sz="0" w:space="0" w:color="auto"/>
        <w:bottom w:val="none" w:sz="0" w:space="0" w:color="auto"/>
        <w:right w:val="none" w:sz="0" w:space="0" w:color="auto"/>
      </w:divBdr>
      <w:divsChild>
        <w:div w:id="3172001">
          <w:marLeft w:val="1181"/>
          <w:marRight w:val="0"/>
          <w:marTop w:val="40"/>
          <w:marBottom w:val="80"/>
          <w:divBdr>
            <w:top w:val="none" w:sz="0" w:space="0" w:color="auto"/>
            <w:left w:val="none" w:sz="0" w:space="0" w:color="auto"/>
            <w:bottom w:val="none" w:sz="0" w:space="0" w:color="auto"/>
            <w:right w:val="none" w:sz="0" w:space="0" w:color="auto"/>
          </w:divBdr>
        </w:div>
        <w:div w:id="395011436">
          <w:marLeft w:val="1181"/>
          <w:marRight w:val="0"/>
          <w:marTop w:val="40"/>
          <w:marBottom w:val="80"/>
          <w:divBdr>
            <w:top w:val="none" w:sz="0" w:space="0" w:color="auto"/>
            <w:left w:val="none" w:sz="0" w:space="0" w:color="auto"/>
            <w:bottom w:val="none" w:sz="0" w:space="0" w:color="auto"/>
            <w:right w:val="none" w:sz="0" w:space="0" w:color="auto"/>
          </w:divBdr>
        </w:div>
        <w:div w:id="476066940">
          <w:marLeft w:val="1181"/>
          <w:marRight w:val="0"/>
          <w:marTop w:val="40"/>
          <w:marBottom w:val="80"/>
          <w:divBdr>
            <w:top w:val="none" w:sz="0" w:space="0" w:color="auto"/>
            <w:left w:val="none" w:sz="0" w:space="0" w:color="auto"/>
            <w:bottom w:val="none" w:sz="0" w:space="0" w:color="auto"/>
            <w:right w:val="none" w:sz="0" w:space="0" w:color="auto"/>
          </w:divBdr>
        </w:div>
        <w:div w:id="981882117">
          <w:marLeft w:val="1181"/>
          <w:marRight w:val="0"/>
          <w:marTop w:val="40"/>
          <w:marBottom w:val="80"/>
          <w:divBdr>
            <w:top w:val="none" w:sz="0" w:space="0" w:color="auto"/>
            <w:left w:val="none" w:sz="0" w:space="0" w:color="auto"/>
            <w:bottom w:val="none" w:sz="0" w:space="0" w:color="auto"/>
            <w:right w:val="none" w:sz="0" w:space="0" w:color="auto"/>
          </w:divBdr>
        </w:div>
        <w:div w:id="1050305263">
          <w:marLeft w:val="1181"/>
          <w:marRight w:val="0"/>
          <w:marTop w:val="40"/>
          <w:marBottom w:val="80"/>
          <w:divBdr>
            <w:top w:val="none" w:sz="0" w:space="0" w:color="auto"/>
            <w:left w:val="none" w:sz="0" w:space="0" w:color="auto"/>
            <w:bottom w:val="none" w:sz="0" w:space="0" w:color="auto"/>
            <w:right w:val="none" w:sz="0" w:space="0" w:color="auto"/>
          </w:divBdr>
        </w:div>
        <w:div w:id="1175806294">
          <w:marLeft w:val="1181"/>
          <w:marRight w:val="0"/>
          <w:marTop w:val="40"/>
          <w:marBottom w:val="80"/>
          <w:divBdr>
            <w:top w:val="none" w:sz="0" w:space="0" w:color="auto"/>
            <w:left w:val="none" w:sz="0" w:space="0" w:color="auto"/>
            <w:bottom w:val="none" w:sz="0" w:space="0" w:color="auto"/>
            <w:right w:val="none" w:sz="0" w:space="0" w:color="auto"/>
          </w:divBdr>
        </w:div>
        <w:div w:id="1204246677">
          <w:marLeft w:val="1181"/>
          <w:marRight w:val="0"/>
          <w:marTop w:val="40"/>
          <w:marBottom w:val="80"/>
          <w:divBdr>
            <w:top w:val="none" w:sz="0" w:space="0" w:color="auto"/>
            <w:left w:val="none" w:sz="0" w:space="0" w:color="auto"/>
            <w:bottom w:val="none" w:sz="0" w:space="0" w:color="auto"/>
            <w:right w:val="none" w:sz="0" w:space="0" w:color="auto"/>
          </w:divBdr>
        </w:div>
        <w:div w:id="1467972370">
          <w:marLeft w:val="1181"/>
          <w:marRight w:val="0"/>
          <w:marTop w:val="40"/>
          <w:marBottom w:val="80"/>
          <w:divBdr>
            <w:top w:val="none" w:sz="0" w:space="0" w:color="auto"/>
            <w:left w:val="none" w:sz="0" w:space="0" w:color="auto"/>
            <w:bottom w:val="none" w:sz="0" w:space="0" w:color="auto"/>
            <w:right w:val="none" w:sz="0" w:space="0" w:color="auto"/>
          </w:divBdr>
        </w:div>
        <w:div w:id="1642151862">
          <w:marLeft w:val="1181"/>
          <w:marRight w:val="0"/>
          <w:marTop w:val="40"/>
          <w:marBottom w:val="80"/>
          <w:divBdr>
            <w:top w:val="none" w:sz="0" w:space="0" w:color="auto"/>
            <w:left w:val="none" w:sz="0" w:space="0" w:color="auto"/>
            <w:bottom w:val="none" w:sz="0" w:space="0" w:color="auto"/>
            <w:right w:val="none" w:sz="0" w:space="0" w:color="auto"/>
          </w:divBdr>
        </w:div>
        <w:div w:id="1971206935">
          <w:marLeft w:val="806"/>
          <w:marRight w:val="0"/>
          <w:marTop w:val="240"/>
          <w:marBottom w:val="40"/>
          <w:divBdr>
            <w:top w:val="none" w:sz="0" w:space="0" w:color="auto"/>
            <w:left w:val="none" w:sz="0" w:space="0" w:color="auto"/>
            <w:bottom w:val="none" w:sz="0" w:space="0" w:color="auto"/>
            <w:right w:val="none" w:sz="0" w:space="0" w:color="auto"/>
          </w:divBdr>
        </w:div>
      </w:divsChild>
    </w:div>
    <w:div w:id="891386094">
      <w:bodyDiv w:val="1"/>
      <w:marLeft w:val="0"/>
      <w:marRight w:val="0"/>
      <w:marTop w:val="0"/>
      <w:marBottom w:val="0"/>
      <w:divBdr>
        <w:top w:val="none" w:sz="0" w:space="0" w:color="auto"/>
        <w:left w:val="none" w:sz="0" w:space="0" w:color="auto"/>
        <w:bottom w:val="none" w:sz="0" w:space="0" w:color="auto"/>
        <w:right w:val="none" w:sz="0" w:space="0" w:color="auto"/>
      </w:divBdr>
    </w:div>
    <w:div w:id="940987483">
      <w:bodyDiv w:val="1"/>
      <w:marLeft w:val="0"/>
      <w:marRight w:val="0"/>
      <w:marTop w:val="0"/>
      <w:marBottom w:val="0"/>
      <w:divBdr>
        <w:top w:val="none" w:sz="0" w:space="0" w:color="auto"/>
        <w:left w:val="none" w:sz="0" w:space="0" w:color="auto"/>
        <w:bottom w:val="none" w:sz="0" w:space="0" w:color="auto"/>
        <w:right w:val="none" w:sz="0" w:space="0" w:color="auto"/>
      </w:divBdr>
      <w:divsChild>
        <w:div w:id="78063126">
          <w:marLeft w:val="677"/>
          <w:marRight w:val="0"/>
          <w:marTop w:val="1040"/>
          <w:marBottom w:val="0"/>
          <w:divBdr>
            <w:top w:val="none" w:sz="0" w:space="0" w:color="auto"/>
            <w:left w:val="none" w:sz="0" w:space="0" w:color="auto"/>
            <w:bottom w:val="none" w:sz="0" w:space="0" w:color="auto"/>
            <w:right w:val="none" w:sz="0" w:space="0" w:color="auto"/>
          </w:divBdr>
        </w:div>
        <w:div w:id="930233903">
          <w:marLeft w:val="677"/>
          <w:marRight w:val="0"/>
          <w:marTop w:val="1040"/>
          <w:marBottom w:val="0"/>
          <w:divBdr>
            <w:top w:val="none" w:sz="0" w:space="0" w:color="auto"/>
            <w:left w:val="none" w:sz="0" w:space="0" w:color="auto"/>
            <w:bottom w:val="none" w:sz="0" w:space="0" w:color="auto"/>
            <w:right w:val="none" w:sz="0" w:space="0" w:color="auto"/>
          </w:divBdr>
        </w:div>
        <w:div w:id="1373387442">
          <w:marLeft w:val="677"/>
          <w:marRight w:val="0"/>
          <w:marTop w:val="1040"/>
          <w:marBottom w:val="0"/>
          <w:divBdr>
            <w:top w:val="none" w:sz="0" w:space="0" w:color="auto"/>
            <w:left w:val="none" w:sz="0" w:space="0" w:color="auto"/>
            <w:bottom w:val="none" w:sz="0" w:space="0" w:color="auto"/>
            <w:right w:val="none" w:sz="0" w:space="0" w:color="auto"/>
          </w:divBdr>
        </w:div>
      </w:divsChild>
    </w:div>
    <w:div w:id="953904468">
      <w:bodyDiv w:val="1"/>
      <w:marLeft w:val="0"/>
      <w:marRight w:val="0"/>
      <w:marTop w:val="0"/>
      <w:marBottom w:val="0"/>
      <w:divBdr>
        <w:top w:val="none" w:sz="0" w:space="0" w:color="auto"/>
        <w:left w:val="none" w:sz="0" w:space="0" w:color="auto"/>
        <w:bottom w:val="none" w:sz="0" w:space="0" w:color="auto"/>
        <w:right w:val="none" w:sz="0" w:space="0" w:color="auto"/>
      </w:divBdr>
    </w:div>
    <w:div w:id="975186058">
      <w:bodyDiv w:val="1"/>
      <w:marLeft w:val="0"/>
      <w:marRight w:val="0"/>
      <w:marTop w:val="0"/>
      <w:marBottom w:val="0"/>
      <w:divBdr>
        <w:top w:val="none" w:sz="0" w:space="0" w:color="auto"/>
        <w:left w:val="none" w:sz="0" w:space="0" w:color="auto"/>
        <w:bottom w:val="none" w:sz="0" w:space="0" w:color="auto"/>
        <w:right w:val="none" w:sz="0" w:space="0" w:color="auto"/>
      </w:divBdr>
    </w:div>
    <w:div w:id="1084836020">
      <w:bodyDiv w:val="1"/>
      <w:marLeft w:val="0"/>
      <w:marRight w:val="0"/>
      <w:marTop w:val="0"/>
      <w:marBottom w:val="0"/>
      <w:divBdr>
        <w:top w:val="none" w:sz="0" w:space="0" w:color="auto"/>
        <w:left w:val="none" w:sz="0" w:space="0" w:color="auto"/>
        <w:bottom w:val="none" w:sz="0" w:space="0" w:color="auto"/>
        <w:right w:val="none" w:sz="0" w:space="0" w:color="auto"/>
      </w:divBdr>
    </w:div>
    <w:div w:id="1095319710">
      <w:bodyDiv w:val="1"/>
      <w:marLeft w:val="0"/>
      <w:marRight w:val="0"/>
      <w:marTop w:val="0"/>
      <w:marBottom w:val="0"/>
      <w:divBdr>
        <w:top w:val="none" w:sz="0" w:space="0" w:color="auto"/>
        <w:left w:val="none" w:sz="0" w:space="0" w:color="auto"/>
        <w:bottom w:val="none" w:sz="0" w:space="0" w:color="auto"/>
        <w:right w:val="none" w:sz="0" w:space="0" w:color="auto"/>
      </w:divBdr>
    </w:div>
    <w:div w:id="1105996470">
      <w:bodyDiv w:val="1"/>
      <w:marLeft w:val="0"/>
      <w:marRight w:val="0"/>
      <w:marTop w:val="0"/>
      <w:marBottom w:val="0"/>
      <w:divBdr>
        <w:top w:val="none" w:sz="0" w:space="0" w:color="auto"/>
        <w:left w:val="none" w:sz="0" w:space="0" w:color="auto"/>
        <w:bottom w:val="none" w:sz="0" w:space="0" w:color="auto"/>
        <w:right w:val="none" w:sz="0" w:space="0" w:color="auto"/>
      </w:divBdr>
      <w:divsChild>
        <w:div w:id="807209628">
          <w:marLeft w:val="1181"/>
          <w:marRight w:val="0"/>
          <w:marTop w:val="40"/>
          <w:marBottom w:val="80"/>
          <w:divBdr>
            <w:top w:val="none" w:sz="0" w:space="0" w:color="auto"/>
            <w:left w:val="none" w:sz="0" w:space="0" w:color="auto"/>
            <w:bottom w:val="none" w:sz="0" w:space="0" w:color="auto"/>
            <w:right w:val="none" w:sz="0" w:space="0" w:color="auto"/>
          </w:divBdr>
        </w:div>
        <w:div w:id="873423295">
          <w:marLeft w:val="1181"/>
          <w:marRight w:val="0"/>
          <w:marTop w:val="40"/>
          <w:marBottom w:val="80"/>
          <w:divBdr>
            <w:top w:val="none" w:sz="0" w:space="0" w:color="auto"/>
            <w:left w:val="none" w:sz="0" w:space="0" w:color="auto"/>
            <w:bottom w:val="none" w:sz="0" w:space="0" w:color="auto"/>
            <w:right w:val="none" w:sz="0" w:space="0" w:color="auto"/>
          </w:divBdr>
        </w:div>
        <w:div w:id="940188158">
          <w:marLeft w:val="1469"/>
          <w:marRight w:val="0"/>
          <w:marTop w:val="40"/>
          <w:marBottom w:val="80"/>
          <w:divBdr>
            <w:top w:val="none" w:sz="0" w:space="0" w:color="auto"/>
            <w:left w:val="none" w:sz="0" w:space="0" w:color="auto"/>
            <w:bottom w:val="none" w:sz="0" w:space="0" w:color="auto"/>
            <w:right w:val="none" w:sz="0" w:space="0" w:color="auto"/>
          </w:divBdr>
        </w:div>
        <w:div w:id="1138760876">
          <w:marLeft w:val="1181"/>
          <w:marRight w:val="0"/>
          <w:marTop w:val="40"/>
          <w:marBottom w:val="80"/>
          <w:divBdr>
            <w:top w:val="none" w:sz="0" w:space="0" w:color="auto"/>
            <w:left w:val="none" w:sz="0" w:space="0" w:color="auto"/>
            <w:bottom w:val="none" w:sz="0" w:space="0" w:color="auto"/>
            <w:right w:val="none" w:sz="0" w:space="0" w:color="auto"/>
          </w:divBdr>
        </w:div>
        <w:div w:id="1196963372">
          <w:marLeft w:val="1181"/>
          <w:marRight w:val="0"/>
          <w:marTop w:val="40"/>
          <w:marBottom w:val="80"/>
          <w:divBdr>
            <w:top w:val="none" w:sz="0" w:space="0" w:color="auto"/>
            <w:left w:val="none" w:sz="0" w:space="0" w:color="auto"/>
            <w:bottom w:val="none" w:sz="0" w:space="0" w:color="auto"/>
            <w:right w:val="none" w:sz="0" w:space="0" w:color="auto"/>
          </w:divBdr>
        </w:div>
        <w:div w:id="1245914102">
          <w:marLeft w:val="806"/>
          <w:marRight w:val="0"/>
          <w:marTop w:val="240"/>
          <w:marBottom w:val="40"/>
          <w:divBdr>
            <w:top w:val="none" w:sz="0" w:space="0" w:color="auto"/>
            <w:left w:val="none" w:sz="0" w:space="0" w:color="auto"/>
            <w:bottom w:val="none" w:sz="0" w:space="0" w:color="auto"/>
            <w:right w:val="none" w:sz="0" w:space="0" w:color="auto"/>
          </w:divBdr>
        </w:div>
        <w:div w:id="1290672610">
          <w:marLeft w:val="1181"/>
          <w:marRight w:val="0"/>
          <w:marTop w:val="40"/>
          <w:marBottom w:val="80"/>
          <w:divBdr>
            <w:top w:val="none" w:sz="0" w:space="0" w:color="auto"/>
            <w:left w:val="none" w:sz="0" w:space="0" w:color="auto"/>
            <w:bottom w:val="none" w:sz="0" w:space="0" w:color="auto"/>
            <w:right w:val="none" w:sz="0" w:space="0" w:color="auto"/>
          </w:divBdr>
        </w:div>
        <w:div w:id="1401754689">
          <w:marLeft w:val="1181"/>
          <w:marRight w:val="0"/>
          <w:marTop w:val="40"/>
          <w:marBottom w:val="80"/>
          <w:divBdr>
            <w:top w:val="none" w:sz="0" w:space="0" w:color="auto"/>
            <w:left w:val="none" w:sz="0" w:space="0" w:color="auto"/>
            <w:bottom w:val="none" w:sz="0" w:space="0" w:color="auto"/>
            <w:right w:val="none" w:sz="0" w:space="0" w:color="auto"/>
          </w:divBdr>
        </w:div>
        <w:div w:id="1454861920">
          <w:marLeft w:val="1181"/>
          <w:marRight w:val="0"/>
          <w:marTop w:val="40"/>
          <w:marBottom w:val="80"/>
          <w:divBdr>
            <w:top w:val="none" w:sz="0" w:space="0" w:color="auto"/>
            <w:left w:val="none" w:sz="0" w:space="0" w:color="auto"/>
            <w:bottom w:val="none" w:sz="0" w:space="0" w:color="auto"/>
            <w:right w:val="none" w:sz="0" w:space="0" w:color="auto"/>
          </w:divBdr>
        </w:div>
        <w:div w:id="1523661891">
          <w:marLeft w:val="1181"/>
          <w:marRight w:val="0"/>
          <w:marTop w:val="40"/>
          <w:marBottom w:val="80"/>
          <w:divBdr>
            <w:top w:val="none" w:sz="0" w:space="0" w:color="auto"/>
            <w:left w:val="none" w:sz="0" w:space="0" w:color="auto"/>
            <w:bottom w:val="none" w:sz="0" w:space="0" w:color="auto"/>
            <w:right w:val="none" w:sz="0" w:space="0" w:color="auto"/>
          </w:divBdr>
        </w:div>
        <w:div w:id="1569682545">
          <w:marLeft w:val="806"/>
          <w:marRight w:val="0"/>
          <w:marTop w:val="240"/>
          <w:marBottom w:val="40"/>
          <w:divBdr>
            <w:top w:val="none" w:sz="0" w:space="0" w:color="auto"/>
            <w:left w:val="none" w:sz="0" w:space="0" w:color="auto"/>
            <w:bottom w:val="none" w:sz="0" w:space="0" w:color="auto"/>
            <w:right w:val="none" w:sz="0" w:space="0" w:color="auto"/>
          </w:divBdr>
        </w:div>
        <w:div w:id="1746872521">
          <w:marLeft w:val="1469"/>
          <w:marRight w:val="0"/>
          <w:marTop w:val="40"/>
          <w:marBottom w:val="80"/>
          <w:divBdr>
            <w:top w:val="none" w:sz="0" w:space="0" w:color="auto"/>
            <w:left w:val="none" w:sz="0" w:space="0" w:color="auto"/>
            <w:bottom w:val="none" w:sz="0" w:space="0" w:color="auto"/>
            <w:right w:val="none" w:sz="0" w:space="0" w:color="auto"/>
          </w:divBdr>
        </w:div>
        <w:div w:id="1768577415">
          <w:marLeft w:val="1181"/>
          <w:marRight w:val="0"/>
          <w:marTop w:val="40"/>
          <w:marBottom w:val="80"/>
          <w:divBdr>
            <w:top w:val="none" w:sz="0" w:space="0" w:color="auto"/>
            <w:left w:val="none" w:sz="0" w:space="0" w:color="auto"/>
            <w:bottom w:val="none" w:sz="0" w:space="0" w:color="auto"/>
            <w:right w:val="none" w:sz="0" w:space="0" w:color="auto"/>
          </w:divBdr>
        </w:div>
        <w:div w:id="1944728129">
          <w:marLeft w:val="1181"/>
          <w:marRight w:val="0"/>
          <w:marTop w:val="40"/>
          <w:marBottom w:val="80"/>
          <w:divBdr>
            <w:top w:val="none" w:sz="0" w:space="0" w:color="auto"/>
            <w:left w:val="none" w:sz="0" w:space="0" w:color="auto"/>
            <w:bottom w:val="none" w:sz="0" w:space="0" w:color="auto"/>
            <w:right w:val="none" w:sz="0" w:space="0" w:color="auto"/>
          </w:divBdr>
        </w:div>
      </w:divsChild>
    </w:div>
    <w:div w:id="1106121620">
      <w:bodyDiv w:val="1"/>
      <w:marLeft w:val="0"/>
      <w:marRight w:val="0"/>
      <w:marTop w:val="0"/>
      <w:marBottom w:val="0"/>
      <w:divBdr>
        <w:top w:val="none" w:sz="0" w:space="0" w:color="auto"/>
        <w:left w:val="none" w:sz="0" w:space="0" w:color="auto"/>
        <w:bottom w:val="none" w:sz="0" w:space="0" w:color="auto"/>
        <w:right w:val="none" w:sz="0" w:space="0" w:color="auto"/>
      </w:divBdr>
      <w:divsChild>
        <w:div w:id="382871580">
          <w:marLeft w:val="1181"/>
          <w:marRight w:val="0"/>
          <w:marTop w:val="40"/>
          <w:marBottom w:val="80"/>
          <w:divBdr>
            <w:top w:val="none" w:sz="0" w:space="0" w:color="auto"/>
            <w:left w:val="none" w:sz="0" w:space="0" w:color="auto"/>
            <w:bottom w:val="none" w:sz="0" w:space="0" w:color="auto"/>
            <w:right w:val="none" w:sz="0" w:space="0" w:color="auto"/>
          </w:divBdr>
        </w:div>
        <w:div w:id="963391370">
          <w:marLeft w:val="806"/>
          <w:marRight w:val="0"/>
          <w:marTop w:val="240"/>
          <w:marBottom w:val="40"/>
          <w:divBdr>
            <w:top w:val="none" w:sz="0" w:space="0" w:color="auto"/>
            <w:left w:val="none" w:sz="0" w:space="0" w:color="auto"/>
            <w:bottom w:val="none" w:sz="0" w:space="0" w:color="auto"/>
            <w:right w:val="none" w:sz="0" w:space="0" w:color="auto"/>
          </w:divBdr>
        </w:div>
        <w:div w:id="1301496661">
          <w:marLeft w:val="1181"/>
          <w:marRight w:val="0"/>
          <w:marTop w:val="40"/>
          <w:marBottom w:val="80"/>
          <w:divBdr>
            <w:top w:val="none" w:sz="0" w:space="0" w:color="auto"/>
            <w:left w:val="none" w:sz="0" w:space="0" w:color="auto"/>
            <w:bottom w:val="none" w:sz="0" w:space="0" w:color="auto"/>
            <w:right w:val="none" w:sz="0" w:space="0" w:color="auto"/>
          </w:divBdr>
        </w:div>
        <w:div w:id="1462073876">
          <w:marLeft w:val="1181"/>
          <w:marRight w:val="0"/>
          <w:marTop w:val="40"/>
          <w:marBottom w:val="80"/>
          <w:divBdr>
            <w:top w:val="none" w:sz="0" w:space="0" w:color="auto"/>
            <w:left w:val="none" w:sz="0" w:space="0" w:color="auto"/>
            <w:bottom w:val="none" w:sz="0" w:space="0" w:color="auto"/>
            <w:right w:val="none" w:sz="0" w:space="0" w:color="auto"/>
          </w:divBdr>
        </w:div>
        <w:div w:id="1503467111">
          <w:marLeft w:val="1181"/>
          <w:marRight w:val="0"/>
          <w:marTop w:val="40"/>
          <w:marBottom w:val="80"/>
          <w:divBdr>
            <w:top w:val="none" w:sz="0" w:space="0" w:color="auto"/>
            <w:left w:val="none" w:sz="0" w:space="0" w:color="auto"/>
            <w:bottom w:val="none" w:sz="0" w:space="0" w:color="auto"/>
            <w:right w:val="none" w:sz="0" w:space="0" w:color="auto"/>
          </w:divBdr>
        </w:div>
        <w:div w:id="1599681904">
          <w:marLeft w:val="1181"/>
          <w:marRight w:val="0"/>
          <w:marTop w:val="40"/>
          <w:marBottom w:val="80"/>
          <w:divBdr>
            <w:top w:val="none" w:sz="0" w:space="0" w:color="auto"/>
            <w:left w:val="none" w:sz="0" w:space="0" w:color="auto"/>
            <w:bottom w:val="none" w:sz="0" w:space="0" w:color="auto"/>
            <w:right w:val="none" w:sz="0" w:space="0" w:color="auto"/>
          </w:divBdr>
        </w:div>
        <w:div w:id="1729453337">
          <w:marLeft w:val="1181"/>
          <w:marRight w:val="0"/>
          <w:marTop w:val="40"/>
          <w:marBottom w:val="80"/>
          <w:divBdr>
            <w:top w:val="none" w:sz="0" w:space="0" w:color="auto"/>
            <w:left w:val="none" w:sz="0" w:space="0" w:color="auto"/>
            <w:bottom w:val="none" w:sz="0" w:space="0" w:color="auto"/>
            <w:right w:val="none" w:sz="0" w:space="0" w:color="auto"/>
          </w:divBdr>
        </w:div>
        <w:div w:id="1796752328">
          <w:marLeft w:val="1181"/>
          <w:marRight w:val="0"/>
          <w:marTop w:val="40"/>
          <w:marBottom w:val="80"/>
          <w:divBdr>
            <w:top w:val="none" w:sz="0" w:space="0" w:color="auto"/>
            <w:left w:val="none" w:sz="0" w:space="0" w:color="auto"/>
            <w:bottom w:val="none" w:sz="0" w:space="0" w:color="auto"/>
            <w:right w:val="none" w:sz="0" w:space="0" w:color="auto"/>
          </w:divBdr>
        </w:div>
      </w:divsChild>
    </w:div>
    <w:div w:id="1109740569">
      <w:bodyDiv w:val="1"/>
      <w:marLeft w:val="0"/>
      <w:marRight w:val="0"/>
      <w:marTop w:val="0"/>
      <w:marBottom w:val="0"/>
      <w:divBdr>
        <w:top w:val="none" w:sz="0" w:space="0" w:color="auto"/>
        <w:left w:val="none" w:sz="0" w:space="0" w:color="auto"/>
        <w:bottom w:val="none" w:sz="0" w:space="0" w:color="auto"/>
        <w:right w:val="none" w:sz="0" w:space="0" w:color="auto"/>
      </w:divBdr>
      <w:divsChild>
        <w:div w:id="437989235">
          <w:marLeft w:val="1267"/>
          <w:marRight w:val="0"/>
          <w:marTop w:val="40"/>
          <w:marBottom w:val="80"/>
          <w:divBdr>
            <w:top w:val="none" w:sz="0" w:space="0" w:color="auto"/>
            <w:left w:val="none" w:sz="0" w:space="0" w:color="auto"/>
            <w:bottom w:val="none" w:sz="0" w:space="0" w:color="auto"/>
            <w:right w:val="none" w:sz="0" w:space="0" w:color="auto"/>
          </w:divBdr>
        </w:div>
        <w:div w:id="449131418">
          <w:marLeft w:val="1267"/>
          <w:marRight w:val="0"/>
          <w:marTop w:val="40"/>
          <w:marBottom w:val="80"/>
          <w:divBdr>
            <w:top w:val="none" w:sz="0" w:space="0" w:color="auto"/>
            <w:left w:val="none" w:sz="0" w:space="0" w:color="auto"/>
            <w:bottom w:val="none" w:sz="0" w:space="0" w:color="auto"/>
            <w:right w:val="none" w:sz="0" w:space="0" w:color="auto"/>
          </w:divBdr>
        </w:div>
        <w:div w:id="601378222">
          <w:marLeft w:val="806"/>
          <w:marRight w:val="0"/>
          <w:marTop w:val="240"/>
          <w:marBottom w:val="40"/>
          <w:divBdr>
            <w:top w:val="none" w:sz="0" w:space="0" w:color="auto"/>
            <w:left w:val="none" w:sz="0" w:space="0" w:color="auto"/>
            <w:bottom w:val="none" w:sz="0" w:space="0" w:color="auto"/>
            <w:right w:val="none" w:sz="0" w:space="0" w:color="auto"/>
          </w:divBdr>
        </w:div>
        <w:div w:id="1047682747">
          <w:marLeft w:val="1181"/>
          <w:marRight w:val="0"/>
          <w:marTop w:val="40"/>
          <w:marBottom w:val="80"/>
          <w:divBdr>
            <w:top w:val="none" w:sz="0" w:space="0" w:color="auto"/>
            <w:left w:val="none" w:sz="0" w:space="0" w:color="auto"/>
            <w:bottom w:val="none" w:sz="0" w:space="0" w:color="auto"/>
            <w:right w:val="none" w:sz="0" w:space="0" w:color="auto"/>
          </w:divBdr>
        </w:div>
        <w:div w:id="1051609197">
          <w:marLeft w:val="1267"/>
          <w:marRight w:val="0"/>
          <w:marTop w:val="40"/>
          <w:marBottom w:val="80"/>
          <w:divBdr>
            <w:top w:val="none" w:sz="0" w:space="0" w:color="auto"/>
            <w:left w:val="none" w:sz="0" w:space="0" w:color="auto"/>
            <w:bottom w:val="none" w:sz="0" w:space="0" w:color="auto"/>
            <w:right w:val="none" w:sz="0" w:space="0" w:color="auto"/>
          </w:divBdr>
        </w:div>
        <w:div w:id="1298416078">
          <w:marLeft w:val="1181"/>
          <w:marRight w:val="0"/>
          <w:marTop w:val="40"/>
          <w:marBottom w:val="80"/>
          <w:divBdr>
            <w:top w:val="none" w:sz="0" w:space="0" w:color="auto"/>
            <w:left w:val="none" w:sz="0" w:space="0" w:color="auto"/>
            <w:bottom w:val="none" w:sz="0" w:space="0" w:color="auto"/>
            <w:right w:val="none" w:sz="0" w:space="0" w:color="auto"/>
          </w:divBdr>
        </w:div>
        <w:div w:id="1479150462">
          <w:marLeft w:val="806"/>
          <w:marRight w:val="0"/>
          <w:marTop w:val="240"/>
          <w:marBottom w:val="40"/>
          <w:divBdr>
            <w:top w:val="none" w:sz="0" w:space="0" w:color="auto"/>
            <w:left w:val="none" w:sz="0" w:space="0" w:color="auto"/>
            <w:bottom w:val="none" w:sz="0" w:space="0" w:color="auto"/>
            <w:right w:val="none" w:sz="0" w:space="0" w:color="auto"/>
          </w:divBdr>
        </w:div>
        <w:div w:id="1673024141">
          <w:marLeft w:val="1267"/>
          <w:marRight w:val="0"/>
          <w:marTop w:val="40"/>
          <w:marBottom w:val="80"/>
          <w:divBdr>
            <w:top w:val="none" w:sz="0" w:space="0" w:color="auto"/>
            <w:left w:val="none" w:sz="0" w:space="0" w:color="auto"/>
            <w:bottom w:val="none" w:sz="0" w:space="0" w:color="auto"/>
            <w:right w:val="none" w:sz="0" w:space="0" w:color="auto"/>
          </w:divBdr>
        </w:div>
        <w:div w:id="1807430329">
          <w:marLeft w:val="1181"/>
          <w:marRight w:val="0"/>
          <w:marTop w:val="40"/>
          <w:marBottom w:val="80"/>
          <w:divBdr>
            <w:top w:val="none" w:sz="0" w:space="0" w:color="auto"/>
            <w:left w:val="none" w:sz="0" w:space="0" w:color="auto"/>
            <w:bottom w:val="none" w:sz="0" w:space="0" w:color="auto"/>
            <w:right w:val="none" w:sz="0" w:space="0" w:color="auto"/>
          </w:divBdr>
        </w:div>
        <w:div w:id="1919172059">
          <w:marLeft w:val="1181"/>
          <w:marRight w:val="0"/>
          <w:marTop w:val="40"/>
          <w:marBottom w:val="80"/>
          <w:divBdr>
            <w:top w:val="none" w:sz="0" w:space="0" w:color="auto"/>
            <w:left w:val="none" w:sz="0" w:space="0" w:color="auto"/>
            <w:bottom w:val="none" w:sz="0" w:space="0" w:color="auto"/>
            <w:right w:val="none" w:sz="0" w:space="0" w:color="auto"/>
          </w:divBdr>
        </w:div>
      </w:divsChild>
    </w:div>
    <w:div w:id="1129664343">
      <w:bodyDiv w:val="1"/>
      <w:marLeft w:val="0"/>
      <w:marRight w:val="0"/>
      <w:marTop w:val="0"/>
      <w:marBottom w:val="0"/>
      <w:divBdr>
        <w:top w:val="none" w:sz="0" w:space="0" w:color="auto"/>
        <w:left w:val="none" w:sz="0" w:space="0" w:color="auto"/>
        <w:bottom w:val="none" w:sz="0" w:space="0" w:color="auto"/>
        <w:right w:val="none" w:sz="0" w:space="0" w:color="auto"/>
      </w:divBdr>
    </w:div>
    <w:div w:id="1135946073">
      <w:bodyDiv w:val="1"/>
      <w:marLeft w:val="0"/>
      <w:marRight w:val="0"/>
      <w:marTop w:val="0"/>
      <w:marBottom w:val="0"/>
      <w:divBdr>
        <w:top w:val="none" w:sz="0" w:space="0" w:color="auto"/>
        <w:left w:val="none" w:sz="0" w:space="0" w:color="auto"/>
        <w:bottom w:val="none" w:sz="0" w:space="0" w:color="auto"/>
        <w:right w:val="none" w:sz="0" w:space="0" w:color="auto"/>
      </w:divBdr>
    </w:div>
    <w:div w:id="1170802219">
      <w:bodyDiv w:val="1"/>
      <w:marLeft w:val="0"/>
      <w:marRight w:val="0"/>
      <w:marTop w:val="0"/>
      <w:marBottom w:val="0"/>
      <w:divBdr>
        <w:top w:val="none" w:sz="0" w:space="0" w:color="auto"/>
        <w:left w:val="none" w:sz="0" w:space="0" w:color="auto"/>
        <w:bottom w:val="none" w:sz="0" w:space="0" w:color="auto"/>
        <w:right w:val="none" w:sz="0" w:space="0" w:color="auto"/>
      </w:divBdr>
      <w:divsChild>
        <w:div w:id="41372817">
          <w:marLeft w:val="1181"/>
          <w:marRight w:val="0"/>
          <w:marTop w:val="40"/>
          <w:marBottom w:val="80"/>
          <w:divBdr>
            <w:top w:val="none" w:sz="0" w:space="0" w:color="auto"/>
            <w:left w:val="none" w:sz="0" w:space="0" w:color="auto"/>
            <w:bottom w:val="none" w:sz="0" w:space="0" w:color="auto"/>
            <w:right w:val="none" w:sz="0" w:space="0" w:color="auto"/>
          </w:divBdr>
        </w:div>
        <w:div w:id="105009831">
          <w:marLeft w:val="1181"/>
          <w:marRight w:val="0"/>
          <w:marTop w:val="40"/>
          <w:marBottom w:val="80"/>
          <w:divBdr>
            <w:top w:val="none" w:sz="0" w:space="0" w:color="auto"/>
            <w:left w:val="none" w:sz="0" w:space="0" w:color="auto"/>
            <w:bottom w:val="none" w:sz="0" w:space="0" w:color="auto"/>
            <w:right w:val="none" w:sz="0" w:space="0" w:color="auto"/>
          </w:divBdr>
        </w:div>
        <w:div w:id="139540125">
          <w:marLeft w:val="806"/>
          <w:marRight w:val="0"/>
          <w:marTop w:val="240"/>
          <w:marBottom w:val="40"/>
          <w:divBdr>
            <w:top w:val="none" w:sz="0" w:space="0" w:color="auto"/>
            <w:left w:val="none" w:sz="0" w:space="0" w:color="auto"/>
            <w:bottom w:val="none" w:sz="0" w:space="0" w:color="auto"/>
            <w:right w:val="none" w:sz="0" w:space="0" w:color="auto"/>
          </w:divBdr>
        </w:div>
        <w:div w:id="150802475">
          <w:marLeft w:val="1181"/>
          <w:marRight w:val="0"/>
          <w:marTop w:val="40"/>
          <w:marBottom w:val="80"/>
          <w:divBdr>
            <w:top w:val="none" w:sz="0" w:space="0" w:color="auto"/>
            <w:left w:val="none" w:sz="0" w:space="0" w:color="auto"/>
            <w:bottom w:val="none" w:sz="0" w:space="0" w:color="auto"/>
            <w:right w:val="none" w:sz="0" w:space="0" w:color="auto"/>
          </w:divBdr>
        </w:div>
        <w:div w:id="521624027">
          <w:marLeft w:val="806"/>
          <w:marRight w:val="0"/>
          <w:marTop w:val="240"/>
          <w:marBottom w:val="40"/>
          <w:divBdr>
            <w:top w:val="none" w:sz="0" w:space="0" w:color="auto"/>
            <w:left w:val="none" w:sz="0" w:space="0" w:color="auto"/>
            <w:bottom w:val="none" w:sz="0" w:space="0" w:color="auto"/>
            <w:right w:val="none" w:sz="0" w:space="0" w:color="auto"/>
          </w:divBdr>
        </w:div>
        <w:div w:id="554901395">
          <w:marLeft w:val="1181"/>
          <w:marRight w:val="0"/>
          <w:marTop w:val="40"/>
          <w:marBottom w:val="80"/>
          <w:divBdr>
            <w:top w:val="none" w:sz="0" w:space="0" w:color="auto"/>
            <w:left w:val="none" w:sz="0" w:space="0" w:color="auto"/>
            <w:bottom w:val="none" w:sz="0" w:space="0" w:color="auto"/>
            <w:right w:val="none" w:sz="0" w:space="0" w:color="auto"/>
          </w:divBdr>
        </w:div>
        <w:div w:id="689571993">
          <w:marLeft w:val="1181"/>
          <w:marRight w:val="0"/>
          <w:marTop w:val="40"/>
          <w:marBottom w:val="80"/>
          <w:divBdr>
            <w:top w:val="none" w:sz="0" w:space="0" w:color="auto"/>
            <w:left w:val="none" w:sz="0" w:space="0" w:color="auto"/>
            <w:bottom w:val="none" w:sz="0" w:space="0" w:color="auto"/>
            <w:right w:val="none" w:sz="0" w:space="0" w:color="auto"/>
          </w:divBdr>
        </w:div>
        <w:div w:id="1105929349">
          <w:marLeft w:val="1181"/>
          <w:marRight w:val="0"/>
          <w:marTop w:val="40"/>
          <w:marBottom w:val="80"/>
          <w:divBdr>
            <w:top w:val="none" w:sz="0" w:space="0" w:color="auto"/>
            <w:left w:val="none" w:sz="0" w:space="0" w:color="auto"/>
            <w:bottom w:val="none" w:sz="0" w:space="0" w:color="auto"/>
            <w:right w:val="none" w:sz="0" w:space="0" w:color="auto"/>
          </w:divBdr>
        </w:div>
        <w:div w:id="1317150791">
          <w:marLeft w:val="1181"/>
          <w:marRight w:val="0"/>
          <w:marTop w:val="40"/>
          <w:marBottom w:val="80"/>
          <w:divBdr>
            <w:top w:val="none" w:sz="0" w:space="0" w:color="auto"/>
            <w:left w:val="none" w:sz="0" w:space="0" w:color="auto"/>
            <w:bottom w:val="none" w:sz="0" w:space="0" w:color="auto"/>
            <w:right w:val="none" w:sz="0" w:space="0" w:color="auto"/>
          </w:divBdr>
        </w:div>
        <w:div w:id="1418862948">
          <w:marLeft w:val="1181"/>
          <w:marRight w:val="0"/>
          <w:marTop w:val="40"/>
          <w:marBottom w:val="80"/>
          <w:divBdr>
            <w:top w:val="none" w:sz="0" w:space="0" w:color="auto"/>
            <w:left w:val="none" w:sz="0" w:space="0" w:color="auto"/>
            <w:bottom w:val="none" w:sz="0" w:space="0" w:color="auto"/>
            <w:right w:val="none" w:sz="0" w:space="0" w:color="auto"/>
          </w:divBdr>
        </w:div>
      </w:divsChild>
    </w:div>
    <w:div w:id="1225947316">
      <w:bodyDiv w:val="1"/>
      <w:marLeft w:val="0"/>
      <w:marRight w:val="0"/>
      <w:marTop w:val="0"/>
      <w:marBottom w:val="0"/>
      <w:divBdr>
        <w:top w:val="none" w:sz="0" w:space="0" w:color="auto"/>
        <w:left w:val="none" w:sz="0" w:space="0" w:color="auto"/>
        <w:bottom w:val="none" w:sz="0" w:space="0" w:color="auto"/>
        <w:right w:val="none" w:sz="0" w:space="0" w:color="auto"/>
      </w:divBdr>
    </w:div>
    <w:div w:id="1267083037">
      <w:bodyDiv w:val="1"/>
      <w:marLeft w:val="0"/>
      <w:marRight w:val="0"/>
      <w:marTop w:val="0"/>
      <w:marBottom w:val="0"/>
      <w:divBdr>
        <w:top w:val="none" w:sz="0" w:space="0" w:color="auto"/>
        <w:left w:val="none" w:sz="0" w:space="0" w:color="auto"/>
        <w:bottom w:val="none" w:sz="0" w:space="0" w:color="auto"/>
        <w:right w:val="none" w:sz="0" w:space="0" w:color="auto"/>
      </w:divBdr>
    </w:div>
    <w:div w:id="1289701484">
      <w:bodyDiv w:val="1"/>
      <w:marLeft w:val="0"/>
      <w:marRight w:val="0"/>
      <w:marTop w:val="0"/>
      <w:marBottom w:val="0"/>
      <w:divBdr>
        <w:top w:val="none" w:sz="0" w:space="0" w:color="auto"/>
        <w:left w:val="none" w:sz="0" w:space="0" w:color="auto"/>
        <w:bottom w:val="none" w:sz="0" w:space="0" w:color="auto"/>
        <w:right w:val="none" w:sz="0" w:space="0" w:color="auto"/>
      </w:divBdr>
      <w:divsChild>
        <w:div w:id="203294299">
          <w:marLeft w:val="1181"/>
          <w:marRight w:val="0"/>
          <w:marTop w:val="40"/>
          <w:marBottom w:val="80"/>
          <w:divBdr>
            <w:top w:val="none" w:sz="0" w:space="0" w:color="auto"/>
            <w:left w:val="none" w:sz="0" w:space="0" w:color="auto"/>
            <w:bottom w:val="none" w:sz="0" w:space="0" w:color="auto"/>
            <w:right w:val="none" w:sz="0" w:space="0" w:color="auto"/>
          </w:divBdr>
        </w:div>
        <w:div w:id="817190770">
          <w:marLeft w:val="1181"/>
          <w:marRight w:val="0"/>
          <w:marTop w:val="40"/>
          <w:marBottom w:val="80"/>
          <w:divBdr>
            <w:top w:val="none" w:sz="0" w:space="0" w:color="auto"/>
            <w:left w:val="none" w:sz="0" w:space="0" w:color="auto"/>
            <w:bottom w:val="none" w:sz="0" w:space="0" w:color="auto"/>
            <w:right w:val="none" w:sz="0" w:space="0" w:color="auto"/>
          </w:divBdr>
        </w:div>
        <w:div w:id="985861058">
          <w:marLeft w:val="1181"/>
          <w:marRight w:val="0"/>
          <w:marTop w:val="40"/>
          <w:marBottom w:val="80"/>
          <w:divBdr>
            <w:top w:val="none" w:sz="0" w:space="0" w:color="auto"/>
            <w:left w:val="none" w:sz="0" w:space="0" w:color="auto"/>
            <w:bottom w:val="none" w:sz="0" w:space="0" w:color="auto"/>
            <w:right w:val="none" w:sz="0" w:space="0" w:color="auto"/>
          </w:divBdr>
        </w:div>
        <w:div w:id="1065179643">
          <w:marLeft w:val="1181"/>
          <w:marRight w:val="0"/>
          <w:marTop w:val="40"/>
          <w:marBottom w:val="80"/>
          <w:divBdr>
            <w:top w:val="none" w:sz="0" w:space="0" w:color="auto"/>
            <w:left w:val="none" w:sz="0" w:space="0" w:color="auto"/>
            <w:bottom w:val="none" w:sz="0" w:space="0" w:color="auto"/>
            <w:right w:val="none" w:sz="0" w:space="0" w:color="auto"/>
          </w:divBdr>
        </w:div>
        <w:div w:id="1204445292">
          <w:marLeft w:val="1181"/>
          <w:marRight w:val="0"/>
          <w:marTop w:val="40"/>
          <w:marBottom w:val="80"/>
          <w:divBdr>
            <w:top w:val="none" w:sz="0" w:space="0" w:color="auto"/>
            <w:left w:val="none" w:sz="0" w:space="0" w:color="auto"/>
            <w:bottom w:val="none" w:sz="0" w:space="0" w:color="auto"/>
            <w:right w:val="none" w:sz="0" w:space="0" w:color="auto"/>
          </w:divBdr>
        </w:div>
        <w:div w:id="1331442177">
          <w:marLeft w:val="1181"/>
          <w:marRight w:val="0"/>
          <w:marTop w:val="40"/>
          <w:marBottom w:val="80"/>
          <w:divBdr>
            <w:top w:val="none" w:sz="0" w:space="0" w:color="auto"/>
            <w:left w:val="none" w:sz="0" w:space="0" w:color="auto"/>
            <w:bottom w:val="none" w:sz="0" w:space="0" w:color="auto"/>
            <w:right w:val="none" w:sz="0" w:space="0" w:color="auto"/>
          </w:divBdr>
        </w:div>
        <w:div w:id="1520661836">
          <w:marLeft w:val="1181"/>
          <w:marRight w:val="0"/>
          <w:marTop w:val="40"/>
          <w:marBottom w:val="80"/>
          <w:divBdr>
            <w:top w:val="none" w:sz="0" w:space="0" w:color="auto"/>
            <w:left w:val="none" w:sz="0" w:space="0" w:color="auto"/>
            <w:bottom w:val="none" w:sz="0" w:space="0" w:color="auto"/>
            <w:right w:val="none" w:sz="0" w:space="0" w:color="auto"/>
          </w:divBdr>
        </w:div>
        <w:div w:id="1580403616">
          <w:marLeft w:val="806"/>
          <w:marRight w:val="0"/>
          <w:marTop w:val="240"/>
          <w:marBottom w:val="40"/>
          <w:divBdr>
            <w:top w:val="none" w:sz="0" w:space="0" w:color="auto"/>
            <w:left w:val="none" w:sz="0" w:space="0" w:color="auto"/>
            <w:bottom w:val="none" w:sz="0" w:space="0" w:color="auto"/>
            <w:right w:val="none" w:sz="0" w:space="0" w:color="auto"/>
          </w:divBdr>
        </w:div>
        <w:div w:id="1670014120">
          <w:marLeft w:val="1181"/>
          <w:marRight w:val="0"/>
          <w:marTop w:val="40"/>
          <w:marBottom w:val="80"/>
          <w:divBdr>
            <w:top w:val="none" w:sz="0" w:space="0" w:color="auto"/>
            <w:left w:val="none" w:sz="0" w:space="0" w:color="auto"/>
            <w:bottom w:val="none" w:sz="0" w:space="0" w:color="auto"/>
            <w:right w:val="none" w:sz="0" w:space="0" w:color="auto"/>
          </w:divBdr>
        </w:div>
        <w:div w:id="1734235138">
          <w:marLeft w:val="806"/>
          <w:marRight w:val="0"/>
          <w:marTop w:val="240"/>
          <w:marBottom w:val="40"/>
          <w:divBdr>
            <w:top w:val="none" w:sz="0" w:space="0" w:color="auto"/>
            <w:left w:val="none" w:sz="0" w:space="0" w:color="auto"/>
            <w:bottom w:val="none" w:sz="0" w:space="0" w:color="auto"/>
            <w:right w:val="none" w:sz="0" w:space="0" w:color="auto"/>
          </w:divBdr>
        </w:div>
        <w:div w:id="1982223368">
          <w:marLeft w:val="1181"/>
          <w:marRight w:val="0"/>
          <w:marTop w:val="40"/>
          <w:marBottom w:val="80"/>
          <w:divBdr>
            <w:top w:val="none" w:sz="0" w:space="0" w:color="auto"/>
            <w:left w:val="none" w:sz="0" w:space="0" w:color="auto"/>
            <w:bottom w:val="none" w:sz="0" w:space="0" w:color="auto"/>
            <w:right w:val="none" w:sz="0" w:space="0" w:color="auto"/>
          </w:divBdr>
        </w:div>
        <w:div w:id="1982617033">
          <w:marLeft w:val="1181"/>
          <w:marRight w:val="0"/>
          <w:marTop w:val="40"/>
          <w:marBottom w:val="80"/>
          <w:divBdr>
            <w:top w:val="none" w:sz="0" w:space="0" w:color="auto"/>
            <w:left w:val="none" w:sz="0" w:space="0" w:color="auto"/>
            <w:bottom w:val="none" w:sz="0" w:space="0" w:color="auto"/>
            <w:right w:val="none" w:sz="0" w:space="0" w:color="auto"/>
          </w:divBdr>
        </w:div>
      </w:divsChild>
    </w:div>
    <w:div w:id="1294991853">
      <w:bodyDiv w:val="1"/>
      <w:marLeft w:val="0"/>
      <w:marRight w:val="0"/>
      <w:marTop w:val="0"/>
      <w:marBottom w:val="0"/>
      <w:divBdr>
        <w:top w:val="none" w:sz="0" w:space="0" w:color="auto"/>
        <w:left w:val="none" w:sz="0" w:space="0" w:color="auto"/>
        <w:bottom w:val="none" w:sz="0" w:space="0" w:color="auto"/>
        <w:right w:val="none" w:sz="0" w:space="0" w:color="auto"/>
      </w:divBdr>
    </w:div>
    <w:div w:id="1326663551">
      <w:bodyDiv w:val="1"/>
      <w:marLeft w:val="0"/>
      <w:marRight w:val="0"/>
      <w:marTop w:val="0"/>
      <w:marBottom w:val="0"/>
      <w:divBdr>
        <w:top w:val="none" w:sz="0" w:space="0" w:color="auto"/>
        <w:left w:val="none" w:sz="0" w:space="0" w:color="auto"/>
        <w:bottom w:val="none" w:sz="0" w:space="0" w:color="auto"/>
        <w:right w:val="none" w:sz="0" w:space="0" w:color="auto"/>
      </w:divBdr>
    </w:div>
    <w:div w:id="1448625715">
      <w:bodyDiv w:val="1"/>
      <w:marLeft w:val="0"/>
      <w:marRight w:val="0"/>
      <w:marTop w:val="0"/>
      <w:marBottom w:val="0"/>
      <w:divBdr>
        <w:top w:val="none" w:sz="0" w:space="0" w:color="auto"/>
        <w:left w:val="none" w:sz="0" w:space="0" w:color="auto"/>
        <w:bottom w:val="none" w:sz="0" w:space="0" w:color="auto"/>
        <w:right w:val="none" w:sz="0" w:space="0" w:color="auto"/>
      </w:divBdr>
      <w:divsChild>
        <w:div w:id="1132820761">
          <w:marLeft w:val="806"/>
          <w:marRight w:val="0"/>
          <w:marTop w:val="240"/>
          <w:marBottom w:val="40"/>
          <w:divBdr>
            <w:top w:val="none" w:sz="0" w:space="0" w:color="auto"/>
            <w:left w:val="none" w:sz="0" w:space="0" w:color="auto"/>
            <w:bottom w:val="none" w:sz="0" w:space="0" w:color="auto"/>
            <w:right w:val="none" w:sz="0" w:space="0" w:color="auto"/>
          </w:divBdr>
        </w:div>
        <w:div w:id="1885749331">
          <w:marLeft w:val="1181"/>
          <w:marRight w:val="0"/>
          <w:marTop w:val="40"/>
          <w:marBottom w:val="80"/>
          <w:divBdr>
            <w:top w:val="none" w:sz="0" w:space="0" w:color="auto"/>
            <w:left w:val="none" w:sz="0" w:space="0" w:color="auto"/>
            <w:bottom w:val="none" w:sz="0" w:space="0" w:color="auto"/>
            <w:right w:val="none" w:sz="0" w:space="0" w:color="auto"/>
          </w:divBdr>
        </w:div>
      </w:divsChild>
    </w:div>
    <w:div w:id="1488132929">
      <w:bodyDiv w:val="1"/>
      <w:marLeft w:val="0"/>
      <w:marRight w:val="0"/>
      <w:marTop w:val="0"/>
      <w:marBottom w:val="0"/>
      <w:divBdr>
        <w:top w:val="none" w:sz="0" w:space="0" w:color="auto"/>
        <w:left w:val="none" w:sz="0" w:space="0" w:color="auto"/>
        <w:bottom w:val="none" w:sz="0" w:space="0" w:color="auto"/>
        <w:right w:val="none" w:sz="0" w:space="0" w:color="auto"/>
      </w:divBdr>
    </w:div>
    <w:div w:id="1510632835">
      <w:bodyDiv w:val="1"/>
      <w:marLeft w:val="0"/>
      <w:marRight w:val="0"/>
      <w:marTop w:val="0"/>
      <w:marBottom w:val="0"/>
      <w:divBdr>
        <w:top w:val="none" w:sz="0" w:space="0" w:color="auto"/>
        <w:left w:val="none" w:sz="0" w:space="0" w:color="auto"/>
        <w:bottom w:val="none" w:sz="0" w:space="0" w:color="auto"/>
        <w:right w:val="none" w:sz="0" w:space="0" w:color="auto"/>
      </w:divBdr>
    </w:div>
    <w:div w:id="1520270447">
      <w:bodyDiv w:val="1"/>
      <w:marLeft w:val="0"/>
      <w:marRight w:val="0"/>
      <w:marTop w:val="0"/>
      <w:marBottom w:val="0"/>
      <w:divBdr>
        <w:top w:val="none" w:sz="0" w:space="0" w:color="auto"/>
        <w:left w:val="none" w:sz="0" w:space="0" w:color="auto"/>
        <w:bottom w:val="none" w:sz="0" w:space="0" w:color="auto"/>
        <w:right w:val="none" w:sz="0" w:space="0" w:color="auto"/>
      </w:divBdr>
    </w:div>
    <w:div w:id="1533419452">
      <w:bodyDiv w:val="1"/>
      <w:marLeft w:val="0"/>
      <w:marRight w:val="0"/>
      <w:marTop w:val="0"/>
      <w:marBottom w:val="0"/>
      <w:divBdr>
        <w:top w:val="none" w:sz="0" w:space="0" w:color="auto"/>
        <w:left w:val="none" w:sz="0" w:space="0" w:color="auto"/>
        <w:bottom w:val="none" w:sz="0" w:space="0" w:color="auto"/>
        <w:right w:val="none" w:sz="0" w:space="0" w:color="auto"/>
      </w:divBdr>
    </w:div>
    <w:div w:id="1559513997">
      <w:bodyDiv w:val="1"/>
      <w:marLeft w:val="0"/>
      <w:marRight w:val="0"/>
      <w:marTop w:val="0"/>
      <w:marBottom w:val="0"/>
      <w:divBdr>
        <w:top w:val="none" w:sz="0" w:space="0" w:color="auto"/>
        <w:left w:val="none" w:sz="0" w:space="0" w:color="auto"/>
        <w:bottom w:val="none" w:sz="0" w:space="0" w:color="auto"/>
        <w:right w:val="none" w:sz="0" w:space="0" w:color="auto"/>
      </w:divBdr>
    </w:div>
    <w:div w:id="1559590570">
      <w:bodyDiv w:val="1"/>
      <w:marLeft w:val="0"/>
      <w:marRight w:val="0"/>
      <w:marTop w:val="0"/>
      <w:marBottom w:val="0"/>
      <w:divBdr>
        <w:top w:val="none" w:sz="0" w:space="0" w:color="auto"/>
        <w:left w:val="none" w:sz="0" w:space="0" w:color="auto"/>
        <w:bottom w:val="none" w:sz="0" w:space="0" w:color="auto"/>
        <w:right w:val="none" w:sz="0" w:space="0" w:color="auto"/>
      </w:divBdr>
    </w:div>
    <w:div w:id="1604222240">
      <w:bodyDiv w:val="1"/>
      <w:marLeft w:val="0"/>
      <w:marRight w:val="0"/>
      <w:marTop w:val="0"/>
      <w:marBottom w:val="0"/>
      <w:divBdr>
        <w:top w:val="none" w:sz="0" w:space="0" w:color="auto"/>
        <w:left w:val="none" w:sz="0" w:space="0" w:color="auto"/>
        <w:bottom w:val="none" w:sz="0" w:space="0" w:color="auto"/>
        <w:right w:val="none" w:sz="0" w:space="0" w:color="auto"/>
      </w:divBdr>
      <w:divsChild>
        <w:div w:id="93405652">
          <w:marLeft w:val="1181"/>
          <w:marRight w:val="0"/>
          <w:marTop w:val="40"/>
          <w:marBottom w:val="80"/>
          <w:divBdr>
            <w:top w:val="none" w:sz="0" w:space="0" w:color="auto"/>
            <w:left w:val="none" w:sz="0" w:space="0" w:color="auto"/>
            <w:bottom w:val="none" w:sz="0" w:space="0" w:color="auto"/>
            <w:right w:val="none" w:sz="0" w:space="0" w:color="auto"/>
          </w:divBdr>
        </w:div>
        <w:div w:id="191844151">
          <w:marLeft w:val="1181"/>
          <w:marRight w:val="0"/>
          <w:marTop w:val="40"/>
          <w:marBottom w:val="80"/>
          <w:divBdr>
            <w:top w:val="none" w:sz="0" w:space="0" w:color="auto"/>
            <w:left w:val="none" w:sz="0" w:space="0" w:color="auto"/>
            <w:bottom w:val="none" w:sz="0" w:space="0" w:color="auto"/>
            <w:right w:val="none" w:sz="0" w:space="0" w:color="auto"/>
          </w:divBdr>
        </w:div>
        <w:div w:id="217935248">
          <w:marLeft w:val="1181"/>
          <w:marRight w:val="0"/>
          <w:marTop w:val="40"/>
          <w:marBottom w:val="80"/>
          <w:divBdr>
            <w:top w:val="none" w:sz="0" w:space="0" w:color="auto"/>
            <w:left w:val="none" w:sz="0" w:space="0" w:color="auto"/>
            <w:bottom w:val="none" w:sz="0" w:space="0" w:color="auto"/>
            <w:right w:val="none" w:sz="0" w:space="0" w:color="auto"/>
          </w:divBdr>
        </w:div>
        <w:div w:id="351882203">
          <w:marLeft w:val="1181"/>
          <w:marRight w:val="0"/>
          <w:marTop w:val="40"/>
          <w:marBottom w:val="80"/>
          <w:divBdr>
            <w:top w:val="none" w:sz="0" w:space="0" w:color="auto"/>
            <w:left w:val="none" w:sz="0" w:space="0" w:color="auto"/>
            <w:bottom w:val="none" w:sz="0" w:space="0" w:color="auto"/>
            <w:right w:val="none" w:sz="0" w:space="0" w:color="auto"/>
          </w:divBdr>
        </w:div>
        <w:div w:id="748380507">
          <w:marLeft w:val="1181"/>
          <w:marRight w:val="0"/>
          <w:marTop w:val="40"/>
          <w:marBottom w:val="80"/>
          <w:divBdr>
            <w:top w:val="none" w:sz="0" w:space="0" w:color="auto"/>
            <w:left w:val="none" w:sz="0" w:space="0" w:color="auto"/>
            <w:bottom w:val="none" w:sz="0" w:space="0" w:color="auto"/>
            <w:right w:val="none" w:sz="0" w:space="0" w:color="auto"/>
          </w:divBdr>
        </w:div>
        <w:div w:id="834884335">
          <w:marLeft w:val="1181"/>
          <w:marRight w:val="0"/>
          <w:marTop w:val="40"/>
          <w:marBottom w:val="80"/>
          <w:divBdr>
            <w:top w:val="none" w:sz="0" w:space="0" w:color="auto"/>
            <w:left w:val="none" w:sz="0" w:space="0" w:color="auto"/>
            <w:bottom w:val="none" w:sz="0" w:space="0" w:color="auto"/>
            <w:right w:val="none" w:sz="0" w:space="0" w:color="auto"/>
          </w:divBdr>
        </w:div>
        <w:div w:id="959997020">
          <w:marLeft w:val="1181"/>
          <w:marRight w:val="0"/>
          <w:marTop w:val="40"/>
          <w:marBottom w:val="80"/>
          <w:divBdr>
            <w:top w:val="none" w:sz="0" w:space="0" w:color="auto"/>
            <w:left w:val="none" w:sz="0" w:space="0" w:color="auto"/>
            <w:bottom w:val="none" w:sz="0" w:space="0" w:color="auto"/>
            <w:right w:val="none" w:sz="0" w:space="0" w:color="auto"/>
          </w:divBdr>
        </w:div>
        <w:div w:id="965547152">
          <w:marLeft w:val="806"/>
          <w:marRight w:val="0"/>
          <w:marTop w:val="240"/>
          <w:marBottom w:val="40"/>
          <w:divBdr>
            <w:top w:val="none" w:sz="0" w:space="0" w:color="auto"/>
            <w:left w:val="none" w:sz="0" w:space="0" w:color="auto"/>
            <w:bottom w:val="none" w:sz="0" w:space="0" w:color="auto"/>
            <w:right w:val="none" w:sz="0" w:space="0" w:color="auto"/>
          </w:divBdr>
        </w:div>
        <w:div w:id="1206915519">
          <w:marLeft w:val="1181"/>
          <w:marRight w:val="0"/>
          <w:marTop w:val="40"/>
          <w:marBottom w:val="80"/>
          <w:divBdr>
            <w:top w:val="none" w:sz="0" w:space="0" w:color="auto"/>
            <w:left w:val="none" w:sz="0" w:space="0" w:color="auto"/>
            <w:bottom w:val="none" w:sz="0" w:space="0" w:color="auto"/>
            <w:right w:val="none" w:sz="0" w:space="0" w:color="auto"/>
          </w:divBdr>
        </w:div>
        <w:div w:id="1780640767">
          <w:marLeft w:val="806"/>
          <w:marRight w:val="0"/>
          <w:marTop w:val="240"/>
          <w:marBottom w:val="40"/>
          <w:divBdr>
            <w:top w:val="none" w:sz="0" w:space="0" w:color="auto"/>
            <w:left w:val="none" w:sz="0" w:space="0" w:color="auto"/>
            <w:bottom w:val="none" w:sz="0" w:space="0" w:color="auto"/>
            <w:right w:val="none" w:sz="0" w:space="0" w:color="auto"/>
          </w:divBdr>
        </w:div>
        <w:div w:id="1886604288">
          <w:marLeft w:val="1181"/>
          <w:marRight w:val="0"/>
          <w:marTop w:val="40"/>
          <w:marBottom w:val="80"/>
          <w:divBdr>
            <w:top w:val="none" w:sz="0" w:space="0" w:color="auto"/>
            <w:left w:val="none" w:sz="0" w:space="0" w:color="auto"/>
            <w:bottom w:val="none" w:sz="0" w:space="0" w:color="auto"/>
            <w:right w:val="none" w:sz="0" w:space="0" w:color="auto"/>
          </w:divBdr>
        </w:div>
        <w:div w:id="1896970541">
          <w:marLeft w:val="1181"/>
          <w:marRight w:val="0"/>
          <w:marTop w:val="40"/>
          <w:marBottom w:val="80"/>
          <w:divBdr>
            <w:top w:val="none" w:sz="0" w:space="0" w:color="auto"/>
            <w:left w:val="none" w:sz="0" w:space="0" w:color="auto"/>
            <w:bottom w:val="none" w:sz="0" w:space="0" w:color="auto"/>
            <w:right w:val="none" w:sz="0" w:space="0" w:color="auto"/>
          </w:divBdr>
        </w:div>
        <w:div w:id="1972444672">
          <w:marLeft w:val="1181"/>
          <w:marRight w:val="0"/>
          <w:marTop w:val="40"/>
          <w:marBottom w:val="80"/>
          <w:divBdr>
            <w:top w:val="none" w:sz="0" w:space="0" w:color="auto"/>
            <w:left w:val="none" w:sz="0" w:space="0" w:color="auto"/>
            <w:bottom w:val="none" w:sz="0" w:space="0" w:color="auto"/>
            <w:right w:val="none" w:sz="0" w:space="0" w:color="auto"/>
          </w:divBdr>
        </w:div>
      </w:divsChild>
    </w:div>
    <w:div w:id="1622374833">
      <w:bodyDiv w:val="1"/>
      <w:marLeft w:val="0"/>
      <w:marRight w:val="0"/>
      <w:marTop w:val="0"/>
      <w:marBottom w:val="0"/>
      <w:divBdr>
        <w:top w:val="none" w:sz="0" w:space="0" w:color="auto"/>
        <w:left w:val="none" w:sz="0" w:space="0" w:color="auto"/>
        <w:bottom w:val="none" w:sz="0" w:space="0" w:color="auto"/>
        <w:right w:val="none" w:sz="0" w:space="0" w:color="auto"/>
      </w:divBdr>
    </w:div>
    <w:div w:id="1624263166">
      <w:bodyDiv w:val="1"/>
      <w:marLeft w:val="0"/>
      <w:marRight w:val="0"/>
      <w:marTop w:val="0"/>
      <w:marBottom w:val="0"/>
      <w:divBdr>
        <w:top w:val="none" w:sz="0" w:space="0" w:color="auto"/>
        <w:left w:val="none" w:sz="0" w:space="0" w:color="auto"/>
        <w:bottom w:val="none" w:sz="0" w:space="0" w:color="auto"/>
        <w:right w:val="none" w:sz="0" w:space="0" w:color="auto"/>
      </w:divBdr>
    </w:div>
    <w:div w:id="1666661813">
      <w:bodyDiv w:val="1"/>
      <w:marLeft w:val="0"/>
      <w:marRight w:val="0"/>
      <w:marTop w:val="0"/>
      <w:marBottom w:val="0"/>
      <w:divBdr>
        <w:top w:val="none" w:sz="0" w:space="0" w:color="auto"/>
        <w:left w:val="none" w:sz="0" w:space="0" w:color="auto"/>
        <w:bottom w:val="none" w:sz="0" w:space="0" w:color="auto"/>
        <w:right w:val="none" w:sz="0" w:space="0" w:color="auto"/>
      </w:divBdr>
    </w:div>
    <w:div w:id="1699626307">
      <w:bodyDiv w:val="1"/>
      <w:marLeft w:val="0"/>
      <w:marRight w:val="0"/>
      <w:marTop w:val="0"/>
      <w:marBottom w:val="0"/>
      <w:divBdr>
        <w:top w:val="none" w:sz="0" w:space="0" w:color="auto"/>
        <w:left w:val="none" w:sz="0" w:space="0" w:color="auto"/>
        <w:bottom w:val="none" w:sz="0" w:space="0" w:color="auto"/>
        <w:right w:val="none" w:sz="0" w:space="0" w:color="auto"/>
      </w:divBdr>
    </w:div>
    <w:div w:id="1736775040">
      <w:bodyDiv w:val="1"/>
      <w:marLeft w:val="0"/>
      <w:marRight w:val="0"/>
      <w:marTop w:val="0"/>
      <w:marBottom w:val="0"/>
      <w:divBdr>
        <w:top w:val="none" w:sz="0" w:space="0" w:color="auto"/>
        <w:left w:val="none" w:sz="0" w:space="0" w:color="auto"/>
        <w:bottom w:val="none" w:sz="0" w:space="0" w:color="auto"/>
        <w:right w:val="none" w:sz="0" w:space="0" w:color="auto"/>
      </w:divBdr>
    </w:div>
    <w:div w:id="1739933692">
      <w:bodyDiv w:val="1"/>
      <w:marLeft w:val="0"/>
      <w:marRight w:val="0"/>
      <w:marTop w:val="0"/>
      <w:marBottom w:val="0"/>
      <w:divBdr>
        <w:top w:val="none" w:sz="0" w:space="0" w:color="auto"/>
        <w:left w:val="none" w:sz="0" w:space="0" w:color="auto"/>
        <w:bottom w:val="none" w:sz="0" w:space="0" w:color="auto"/>
        <w:right w:val="none" w:sz="0" w:space="0" w:color="auto"/>
      </w:divBdr>
      <w:divsChild>
        <w:div w:id="707295370">
          <w:marLeft w:val="1181"/>
          <w:marRight w:val="0"/>
          <w:marTop w:val="40"/>
          <w:marBottom w:val="80"/>
          <w:divBdr>
            <w:top w:val="none" w:sz="0" w:space="0" w:color="auto"/>
            <w:left w:val="none" w:sz="0" w:space="0" w:color="auto"/>
            <w:bottom w:val="none" w:sz="0" w:space="0" w:color="auto"/>
            <w:right w:val="none" w:sz="0" w:space="0" w:color="auto"/>
          </w:divBdr>
        </w:div>
      </w:divsChild>
    </w:div>
    <w:div w:id="1741631454">
      <w:bodyDiv w:val="1"/>
      <w:marLeft w:val="0"/>
      <w:marRight w:val="0"/>
      <w:marTop w:val="0"/>
      <w:marBottom w:val="0"/>
      <w:divBdr>
        <w:top w:val="none" w:sz="0" w:space="0" w:color="auto"/>
        <w:left w:val="none" w:sz="0" w:space="0" w:color="auto"/>
        <w:bottom w:val="none" w:sz="0" w:space="0" w:color="auto"/>
        <w:right w:val="none" w:sz="0" w:space="0" w:color="auto"/>
      </w:divBdr>
    </w:div>
    <w:div w:id="1766606004">
      <w:bodyDiv w:val="1"/>
      <w:marLeft w:val="0"/>
      <w:marRight w:val="0"/>
      <w:marTop w:val="0"/>
      <w:marBottom w:val="0"/>
      <w:divBdr>
        <w:top w:val="none" w:sz="0" w:space="0" w:color="auto"/>
        <w:left w:val="none" w:sz="0" w:space="0" w:color="auto"/>
        <w:bottom w:val="none" w:sz="0" w:space="0" w:color="auto"/>
        <w:right w:val="none" w:sz="0" w:space="0" w:color="auto"/>
      </w:divBdr>
    </w:div>
    <w:div w:id="1784491205">
      <w:bodyDiv w:val="1"/>
      <w:marLeft w:val="0"/>
      <w:marRight w:val="0"/>
      <w:marTop w:val="0"/>
      <w:marBottom w:val="0"/>
      <w:divBdr>
        <w:top w:val="none" w:sz="0" w:space="0" w:color="auto"/>
        <w:left w:val="none" w:sz="0" w:space="0" w:color="auto"/>
        <w:bottom w:val="none" w:sz="0" w:space="0" w:color="auto"/>
        <w:right w:val="none" w:sz="0" w:space="0" w:color="auto"/>
      </w:divBdr>
    </w:div>
    <w:div w:id="1792243298">
      <w:bodyDiv w:val="1"/>
      <w:marLeft w:val="0"/>
      <w:marRight w:val="0"/>
      <w:marTop w:val="0"/>
      <w:marBottom w:val="0"/>
      <w:divBdr>
        <w:top w:val="none" w:sz="0" w:space="0" w:color="auto"/>
        <w:left w:val="none" w:sz="0" w:space="0" w:color="auto"/>
        <w:bottom w:val="none" w:sz="0" w:space="0" w:color="auto"/>
        <w:right w:val="none" w:sz="0" w:space="0" w:color="auto"/>
      </w:divBdr>
    </w:div>
    <w:div w:id="1797329086">
      <w:bodyDiv w:val="1"/>
      <w:marLeft w:val="0"/>
      <w:marRight w:val="0"/>
      <w:marTop w:val="0"/>
      <w:marBottom w:val="0"/>
      <w:divBdr>
        <w:top w:val="none" w:sz="0" w:space="0" w:color="auto"/>
        <w:left w:val="none" w:sz="0" w:space="0" w:color="auto"/>
        <w:bottom w:val="none" w:sz="0" w:space="0" w:color="auto"/>
        <w:right w:val="none" w:sz="0" w:space="0" w:color="auto"/>
      </w:divBdr>
    </w:div>
    <w:div w:id="1863203727">
      <w:bodyDiv w:val="1"/>
      <w:marLeft w:val="0"/>
      <w:marRight w:val="0"/>
      <w:marTop w:val="0"/>
      <w:marBottom w:val="0"/>
      <w:divBdr>
        <w:top w:val="none" w:sz="0" w:space="0" w:color="auto"/>
        <w:left w:val="none" w:sz="0" w:space="0" w:color="auto"/>
        <w:bottom w:val="none" w:sz="0" w:space="0" w:color="auto"/>
        <w:right w:val="none" w:sz="0" w:space="0" w:color="auto"/>
      </w:divBdr>
    </w:div>
    <w:div w:id="1863661697">
      <w:bodyDiv w:val="1"/>
      <w:marLeft w:val="0"/>
      <w:marRight w:val="0"/>
      <w:marTop w:val="0"/>
      <w:marBottom w:val="0"/>
      <w:divBdr>
        <w:top w:val="none" w:sz="0" w:space="0" w:color="auto"/>
        <w:left w:val="none" w:sz="0" w:space="0" w:color="auto"/>
        <w:bottom w:val="none" w:sz="0" w:space="0" w:color="auto"/>
        <w:right w:val="none" w:sz="0" w:space="0" w:color="auto"/>
      </w:divBdr>
    </w:div>
    <w:div w:id="1921677955">
      <w:bodyDiv w:val="1"/>
      <w:marLeft w:val="0"/>
      <w:marRight w:val="0"/>
      <w:marTop w:val="0"/>
      <w:marBottom w:val="0"/>
      <w:divBdr>
        <w:top w:val="none" w:sz="0" w:space="0" w:color="auto"/>
        <w:left w:val="none" w:sz="0" w:space="0" w:color="auto"/>
        <w:bottom w:val="none" w:sz="0" w:space="0" w:color="auto"/>
        <w:right w:val="none" w:sz="0" w:space="0" w:color="auto"/>
      </w:divBdr>
    </w:div>
    <w:div w:id="1934362408">
      <w:bodyDiv w:val="1"/>
      <w:marLeft w:val="0"/>
      <w:marRight w:val="0"/>
      <w:marTop w:val="0"/>
      <w:marBottom w:val="0"/>
      <w:divBdr>
        <w:top w:val="none" w:sz="0" w:space="0" w:color="auto"/>
        <w:left w:val="none" w:sz="0" w:space="0" w:color="auto"/>
        <w:bottom w:val="none" w:sz="0" w:space="0" w:color="auto"/>
        <w:right w:val="none" w:sz="0" w:space="0" w:color="auto"/>
      </w:divBdr>
    </w:div>
    <w:div w:id="1936018225">
      <w:bodyDiv w:val="1"/>
      <w:marLeft w:val="0"/>
      <w:marRight w:val="0"/>
      <w:marTop w:val="0"/>
      <w:marBottom w:val="0"/>
      <w:divBdr>
        <w:top w:val="none" w:sz="0" w:space="0" w:color="auto"/>
        <w:left w:val="none" w:sz="0" w:space="0" w:color="auto"/>
        <w:bottom w:val="none" w:sz="0" w:space="0" w:color="auto"/>
        <w:right w:val="none" w:sz="0" w:space="0" w:color="auto"/>
      </w:divBdr>
    </w:div>
    <w:div w:id="1954441255">
      <w:bodyDiv w:val="1"/>
      <w:marLeft w:val="0"/>
      <w:marRight w:val="0"/>
      <w:marTop w:val="0"/>
      <w:marBottom w:val="0"/>
      <w:divBdr>
        <w:top w:val="none" w:sz="0" w:space="0" w:color="auto"/>
        <w:left w:val="none" w:sz="0" w:space="0" w:color="auto"/>
        <w:bottom w:val="none" w:sz="0" w:space="0" w:color="auto"/>
        <w:right w:val="none" w:sz="0" w:space="0" w:color="auto"/>
      </w:divBdr>
      <w:divsChild>
        <w:div w:id="699160935">
          <w:marLeft w:val="1181"/>
          <w:marRight w:val="0"/>
          <w:marTop w:val="40"/>
          <w:marBottom w:val="80"/>
          <w:divBdr>
            <w:top w:val="none" w:sz="0" w:space="0" w:color="auto"/>
            <w:left w:val="none" w:sz="0" w:space="0" w:color="auto"/>
            <w:bottom w:val="none" w:sz="0" w:space="0" w:color="auto"/>
            <w:right w:val="none" w:sz="0" w:space="0" w:color="auto"/>
          </w:divBdr>
        </w:div>
        <w:div w:id="802698033">
          <w:marLeft w:val="1368"/>
          <w:marRight w:val="0"/>
          <w:marTop w:val="40"/>
          <w:marBottom w:val="80"/>
          <w:divBdr>
            <w:top w:val="none" w:sz="0" w:space="0" w:color="auto"/>
            <w:left w:val="none" w:sz="0" w:space="0" w:color="auto"/>
            <w:bottom w:val="none" w:sz="0" w:space="0" w:color="auto"/>
            <w:right w:val="none" w:sz="0" w:space="0" w:color="auto"/>
          </w:divBdr>
        </w:div>
        <w:div w:id="1026367656">
          <w:marLeft w:val="1368"/>
          <w:marRight w:val="0"/>
          <w:marTop w:val="40"/>
          <w:marBottom w:val="80"/>
          <w:divBdr>
            <w:top w:val="none" w:sz="0" w:space="0" w:color="auto"/>
            <w:left w:val="none" w:sz="0" w:space="0" w:color="auto"/>
            <w:bottom w:val="none" w:sz="0" w:space="0" w:color="auto"/>
            <w:right w:val="none" w:sz="0" w:space="0" w:color="auto"/>
          </w:divBdr>
        </w:div>
        <w:div w:id="1567447574">
          <w:marLeft w:val="1368"/>
          <w:marRight w:val="0"/>
          <w:marTop w:val="40"/>
          <w:marBottom w:val="80"/>
          <w:divBdr>
            <w:top w:val="none" w:sz="0" w:space="0" w:color="auto"/>
            <w:left w:val="none" w:sz="0" w:space="0" w:color="auto"/>
            <w:bottom w:val="none" w:sz="0" w:space="0" w:color="auto"/>
            <w:right w:val="none" w:sz="0" w:space="0" w:color="auto"/>
          </w:divBdr>
        </w:div>
        <w:div w:id="1869365259">
          <w:marLeft w:val="1181"/>
          <w:marRight w:val="0"/>
          <w:marTop w:val="40"/>
          <w:marBottom w:val="80"/>
          <w:divBdr>
            <w:top w:val="none" w:sz="0" w:space="0" w:color="auto"/>
            <w:left w:val="none" w:sz="0" w:space="0" w:color="auto"/>
            <w:bottom w:val="none" w:sz="0" w:space="0" w:color="auto"/>
            <w:right w:val="none" w:sz="0" w:space="0" w:color="auto"/>
          </w:divBdr>
        </w:div>
      </w:divsChild>
    </w:div>
    <w:div w:id="1972856557">
      <w:bodyDiv w:val="1"/>
      <w:marLeft w:val="0"/>
      <w:marRight w:val="0"/>
      <w:marTop w:val="0"/>
      <w:marBottom w:val="0"/>
      <w:divBdr>
        <w:top w:val="none" w:sz="0" w:space="0" w:color="auto"/>
        <w:left w:val="none" w:sz="0" w:space="0" w:color="auto"/>
        <w:bottom w:val="none" w:sz="0" w:space="0" w:color="auto"/>
        <w:right w:val="none" w:sz="0" w:space="0" w:color="auto"/>
      </w:divBdr>
    </w:div>
    <w:div w:id="1977177755">
      <w:bodyDiv w:val="1"/>
      <w:marLeft w:val="0"/>
      <w:marRight w:val="0"/>
      <w:marTop w:val="0"/>
      <w:marBottom w:val="0"/>
      <w:divBdr>
        <w:top w:val="none" w:sz="0" w:space="0" w:color="auto"/>
        <w:left w:val="none" w:sz="0" w:space="0" w:color="auto"/>
        <w:bottom w:val="none" w:sz="0" w:space="0" w:color="auto"/>
        <w:right w:val="none" w:sz="0" w:space="0" w:color="auto"/>
      </w:divBdr>
    </w:div>
    <w:div w:id="1989704521">
      <w:bodyDiv w:val="1"/>
      <w:marLeft w:val="0"/>
      <w:marRight w:val="0"/>
      <w:marTop w:val="0"/>
      <w:marBottom w:val="0"/>
      <w:divBdr>
        <w:top w:val="none" w:sz="0" w:space="0" w:color="auto"/>
        <w:left w:val="none" w:sz="0" w:space="0" w:color="auto"/>
        <w:bottom w:val="none" w:sz="0" w:space="0" w:color="auto"/>
        <w:right w:val="none" w:sz="0" w:space="0" w:color="auto"/>
      </w:divBdr>
    </w:div>
    <w:div w:id="2003463749">
      <w:bodyDiv w:val="1"/>
      <w:marLeft w:val="0"/>
      <w:marRight w:val="0"/>
      <w:marTop w:val="0"/>
      <w:marBottom w:val="0"/>
      <w:divBdr>
        <w:top w:val="none" w:sz="0" w:space="0" w:color="auto"/>
        <w:left w:val="none" w:sz="0" w:space="0" w:color="auto"/>
        <w:bottom w:val="none" w:sz="0" w:space="0" w:color="auto"/>
        <w:right w:val="none" w:sz="0" w:space="0" w:color="auto"/>
      </w:divBdr>
      <w:divsChild>
        <w:div w:id="849762937">
          <w:marLeft w:val="806"/>
          <w:marRight w:val="0"/>
          <w:marTop w:val="240"/>
          <w:marBottom w:val="40"/>
          <w:divBdr>
            <w:top w:val="none" w:sz="0" w:space="0" w:color="auto"/>
            <w:left w:val="none" w:sz="0" w:space="0" w:color="auto"/>
            <w:bottom w:val="none" w:sz="0" w:space="0" w:color="auto"/>
            <w:right w:val="none" w:sz="0" w:space="0" w:color="auto"/>
          </w:divBdr>
        </w:div>
      </w:divsChild>
    </w:div>
    <w:div w:id="2023433305">
      <w:bodyDiv w:val="1"/>
      <w:marLeft w:val="0"/>
      <w:marRight w:val="0"/>
      <w:marTop w:val="0"/>
      <w:marBottom w:val="0"/>
      <w:divBdr>
        <w:top w:val="none" w:sz="0" w:space="0" w:color="auto"/>
        <w:left w:val="none" w:sz="0" w:space="0" w:color="auto"/>
        <w:bottom w:val="none" w:sz="0" w:space="0" w:color="auto"/>
        <w:right w:val="none" w:sz="0" w:space="0" w:color="auto"/>
      </w:divBdr>
    </w:div>
    <w:div w:id="2033990712">
      <w:bodyDiv w:val="1"/>
      <w:marLeft w:val="0"/>
      <w:marRight w:val="0"/>
      <w:marTop w:val="0"/>
      <w:marBottom w:val="0"/>
      <w:divBdr>
        <w:top w:val="none" w:sz="0" w:space="0" w:color="auto"/>
        <w:left w:val="none" w:sz="0" w:space="0" w:color="auto"/>
        <w:bottom w:val="none" w:sz="0" w:space="0" w:color="auto"/>
        <w:right w:val="none" w:sz="0" w:space="0" w:color="auto"/>
      </w:divBdr>
    </w:div>
    <w:div w:id="212993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printerSettings" Target="printerSettings/printerSettings1.bin"/><Relationship Id="rId19" Type="http://schemas.openxmlformats.org/officeDocument/2006/relationships/footer" Target="footer4.xml"/><Relationship Id="rId50" Type="http://schemas.openxmlformats.org/officeDocument/2006/relationships/image" Target="media/image25.emf"/><Relationship Id="rId51" Type="http://schemas.openxmlformats.org/officeDocument/2006/relationships/image" Target="media/image26.emf"/><Relationship Id="rId52" Type="http://schemas.openxmlformats.org/officeDocument/2006/relationships/image" Target="media/image27.emf"/><Relationship Id="rId53" Type="http://schemas.openxmlformats.org/officeDocument/2006/relationships/footer" Target="footer5.xml"/><Relationship Id="rId54" Type="http://schemas.openxmlformats.org/officeDocument/2006/relationships/printerSettings" Target="printerSettings/printerSettings3.bin"/><Relationship Id="rId55" Type="http://schemas.openxmlformats.org/officeDocument/2006/relationships/printerSettings" Target="printerSettings/printerSettings4.bin"/><Relationship Id="rId56" Type="http://schemas.openxmlformats.org/officeDocument/2006/relationships/printerSettings" Target="printerSettings/printerSettings5.bin"/><Relationship Id="rId57" Type="http://schemas.openxmlformats.org/officeDocument/2006/relationships/printerSettings" Target="printerSettings/printerSettings6.bin"/><Relationship Id="rId58" Type="http://schemas.openxmlformats.org/officeDocument/2006/relationships/printerSettings" Target="printerSettings/printerSettings7.bin"/><Relationship Id="rId59" Type="http://schemas.openxmlformats.org/officeDocument/2006/relationships/fontTable" Target="fontTable.xml"/><Relationship Id="rId40" Type="http://schemas.openxmlformats.org/officeDocument/2006/relationships/image" Target="media/image15.emf"/><Relationship Id="rId41" Type="http://schemas.openxmlformats.org/officeDocument/2006/relationships/image" Target="media/image16.emf"/><Relationship Id="rId42" Type="http://schemas.openxmlformats.org/officeDocument/2006/relationships/image" Target="media/image17.emf"/><Relationship Id="rId43" Type="http://schemas.openxmlformats.org/officeDocument/2006/relationships/image" Target="media/image18.emf"/><Relationship Id="rId44" Type="http://schemas.openxmlformats.org/officeDocument/2006/relationships/image" Target="media/image19.emf"/><Relationship Id="rId45" Type="http://schemas.openxmlformats.org/officeDocument/2006/relationships/image" Target="media/image20.emf"/><Relationship Id="rId46" Type="http://schemas.openxmlformats.org/officeDocument/2006/relationships/image" Target="media/image21.emf"/><Relationship Id="rId47" Type="http://schemas.openxmlformats.org/officeDocument/2006/relationships/image" Target="media/image22.emf"/><Relationship Id="rId48" Type="http://schemas.openxmlformats.org/officeDocument/2006/relationships/image" Target="media/image23.emf"/><Relationship Id="rId49" Type="http://schemas.openxmlformats.org/officeDocument/2006/relationships/image" Target="media/image24.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5.emf"/><Relationship Id="rId31" Type="http://schemas.openxmlformats.org/officeDocument/2006/relationships/image" Target="media/image6.emf"/><Relationship Id="rId32" Type="http://schemas.openxmlformats.org/officeDocument/2006/relationships/image" Target="media/image7.emf"/><Relationship Id="rId33" Type="http://schemas.openxmlformats.org/officeDocument/2006/relationships/image" Target="media/image8.emf"/><Relationship Id="rId34" Type="http://schemas.openxmlformats.org/officeDocument/2006/relationships/image" Target="media/image9.emf"/><Relationship Id="rId35" Type="http://schemas.openxmlformats.org/officeDocument/2006/relationships/image" Target="media/image10.emf"/><Relationship Id="rId36" Type="http://schemas.openxmlformats.org/officeDocument/2006/relationships/image" Target="media/image11.emf"/><Relationship Id="rId37" Type="http://schemas.openxmlformats.org/officeDocument/2006/relationships/image" Target="media/image12.emf"/><Relationship Id="rId38" Type="http://schemas.openxmlformats.org/officeDocument/2006/relationships/image" Target="media/image13.emf"/><Relationship Id="rId39" Type="http://schemas.openxmlformats.org/officeDocument/2006/relationships/image" Target="media/image14.emf"/><Relationship Id="rId20" Type="http://schemas.openxmlformats.org/officeDocument/2006/relationships/printerSettings" Target="printerSettings/printerSettings2.bin"/><Relationship Id="rId21" Type="http://schemas.openxmlformats.org/officeDocument/2006/relationships/image" Target="media/image1.emf"/><Relationship Id="rId22" Type="http://schemas.openxmlformats.org/officeDocument/2006/relationships/diagramData" Target="diagrams/data1.xml"/><Relationship Id="rId23" Type="http://schemas.openxmlformats.org/officeDocument/2006/relationships/diagramLayout" Target="diagrams/layout1.xml"/><Relationship Id="rId24" Type="http://schemas.openxmlformats.org/officeDocument/2006/relationships/diagramQuickStyle" Target="diagrams/quickStyle1.xml"/><Relationship Id="rId25" Type="http://schemas.openxmlformats.org/officeDocument/2006/relationships/diagramColors" Target="diagrams/colors1.xml"/><Relationship Id="rId26" Type="http://schemas.microsoft.com/office/2007/relationships/diagramDrawing" Target="diagrams/drawing1.xml"/><Relationship Id="rId27" Type="http://schemas.openxmlformats.org/officeDocument/2006/relationships/image" Target="media/image2.emf"/><Relationship Id="rId28" Type="http://schemas.openxmlformats.org/officeDocument/2006/relationships/image" Target="media/image3.emf"/><Relationship Id="rId29" Type="http://schemas.openxmlformats.org/officeDocument/2006/relationships/image" Target="media/image4.emf"/><Relationship Id="rId6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llinsdictionary.com/dictionary/english/rolling-plan" TargetMode="External"/><Relationship Id="rId4" Type="http://schemas.openxmlformats.org/officeDocument/2006/relationships/hyperlink" Target="http://www.pefa.org/en/content/final-version-documents-%E2%80%9Cguidance-sequencing-pfm-reforms%E2%80%9D" TargetMode="External"/><Relationship Id="rId5" Type="http://schemas.openxmlformats.org/officeDocument/2006/relationships/hyperlink" Target="http://www.mof.go.tl" TargetMode="External"/><Relationship Id="rId6" Type="http://schemas.openxmlformats.org/officeDocument/2006/relationships/hyperlink" Target="http://www.opengovpartnership.org/" TargetMode="External"/><Relationship Id="rId1" Type="http://schemas.openxmlformats.org/officeDocument/2006/relationships/hyperlink" Target="http://www.embassyofafghanistan.org/sites/default/files/documents/REALIZING%20FINAL%20SELF-RELIANCE-%2025%20November%202014.pdf" TargetMode="External"/><Relationship Id="rId2" Type="http://schemas.openxmlformats.org/officeDocument/2006/relationships/hyperlink" Target="https://www.dropbox.com/s/b97axep5p8sx9ot/Implementing%20PFMR-II%2028%20Sep%202015.pdf?dl=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DAA55-6576-4F37-A3A5-217216C7B686}" type="doc">
      <dgm:prSet loTypeId="urn:microsoft.com/office/officeart/2005/8/layout/hProcess9" loCatId="process" qsTypeId="urn:microsoft.com/office/officeart/2005/8/quickstyle/simple1" qsCatId="simple" csTypeId="urn:microsoft.com/office/officeart/2005/8/colors/accent1_2" csCatId="accent1" phldr="1"/>
      <dgm:spPr/>
    </dgm:pt>
    <dgm:pt modelId="{9AD96208-49F3-4B73-A087-D06DE6961FB8}">
      <dgm:prSet phldrT="[Text]"/>
      <dgm:spPr/>
      <dgm:t>
        <a:bodyPr/>
        <a:lstStyle/>
        <a:p>
          <a:r>
            <a:rPr lang="en-GB" dirty="0" smtClean="0"/>
            <a:t>Inaugural 5-year Plan established </a:t>
          </a:r>
        </a:p>
        <a:p>
          <a:r>
            <a:rPr lang="en-GB" dirty="0" smtClean="0"/>
            <a:t>Feb 2016</a:t>
          </a:r>
          <a:endParaRPr lang="en-GB" dirty="0"/>
        </a:p>
      </dgm:t>
    </dgm:pt>
    <dgm:pt modelId="{0646BCEB-409C-406B-A058-CA94B8307B7D}" type="parTrans" cxnId="{28D2FEDA-AE2E-4575-BDA7-C377679BB7AB}">
      <dgm:prSet/>
      <dgm:spPr/>
      <dgm:t>
        <a:bodyPr/>
        <a:lstStyle/>
        <a:p>
          <a:endParaRPr lang="en-GB"/>
        </a:p>
      </dgm:t>
    </dgm:pt>
    <dgm:pt modelId="{FB61B859-02DF-4A2F-AD25-01939640995B}" type="sibTrans" cxnId="{28D2FEDA-AE2E-4575-BDA7-C377679BB7AB}">
      <dgm:prSet/>
      <dgm:spPr/>
      <dgm:t>
        <a:bodyPr/>
        <a:lstStyle/>
        <a:p>
          <a:endParaRPr lang="en-GB"/>
        </a:p>
      </dgm:t>
    </dgm:pt>
    <dgm:pt modelId="{C3D51BC3-2EB3-48EB-A24F-E62918275025}">
      <dgm:prSet phldrT="[Text]"/>
      <dgm:spPr/>
      <dgm:t>
        <a:bodyPr/>
        <a:lstStyle/>
        <a:p>
          <a:r>
            <a:rPr lang="en-GB" dirty="0" smtClean="0"/>
            <a:t>Mid-Year assessment June / July 2016</a:t>
          </a:r>
          <a:endParaRPr lang="en-GB" dirty="0"/>
        </a:p>
      </dgm:t>
    </dgm:pt>
    <dgm:pt modelId="{12C07D87-141F-4405-B3E2-00D003D9174C}" type="parTrans" cxnId="{E886E7BD-017D-4FF2-BAA0-0C2D74B63BB3}">
      <dgm:prSet/>
      <dgm:spPr/>
      <dgm:t>
        <a:bodyPr/>
        <a:lstStyle/>
        <a:p>
          <a:endParaRPr lang="en-GB"/>
        </a:p>
      </dgm:t>
    </dgm:pt>
    <dgm:pt modelId="{B8D8A865-AEDB-42A5-92C1-5D844D07B779}" type="sibTrans" cxnId="{E886E7BD-017D-4FF2-BAA0-0C2D74B63BB3}">
      <dgm:prSet/>
      <dgm:spPr/>
      <dgm:t>
        <a:bodyPr/>
        <a:lstStyle/>
        <a:p>
          <a:endParaRPr lang="en-GB"/>
        </a:p>
      </dgm:t>
    </dgm:pt>
    <dgm:pt modelId="{97930B69-E070-40CC-B472-076C955EE73C}">
      <dgm:prSet phldrT="[Text]"/>
      <dgm:spPr/>
      <dgm:t>
        <a:bodyPr/>
        <a:lstStyle/>
        <a:p>
          <a:r>
            <a:rPr lang="en-GB" dirty="0" smtClean="0"/>
            <a:t>Performance progress report for Brussels </a:t>
          </a:r>
        </a:p>
        <a:p>
          <a:r>
            <a:rPr lang="en-GB" dirty="0" smtClean="0"/>
            <a:t>Sep 2016</a:t>
          </a:r>
          <a:endParaRPr lang="en-GB" dirty="0"/>
        </a:p>
      </dgm:t>
    </dgm:pt>
    <dgm:pt modelId="{24E93DC6-02C9-4525-A8ED-B7186449CA5A}" type="parTrans" cxnId="{0176F527-C9E4-4CBD-B794-CE57D4A4A5E9}">
      <dgm:prSet/>
      <dgm:spPr/>
      <dgm:t>
        <a:bodyPr/>
        <a:lstStyle/>
        <a:p>
          <a:endParaRPr lang="en-GB"/>
        </a:p>
      </dgm:t>
    </dgm:pt>
    <dgm:pt modelId="{ACDF9886-976E-4308-8C66-EDC68D842247}" type="sibTrans" cxnId="{0176F527-C9E4-4CBD-B794-CE57D4A4A5E9}">
      <dgm:prSet/>
      <dgm:spPr/>
      <dgm:t>
        <a:bodyPr/>
        <a:lstStyle/>
        <a:p>
          <a:endParaRPr lang="en-GB"/>
        </a:p>
      </dgm:t>
    </dgm:pt>
    <dgm:pt modelId="{41BCC3BC-05FD-4EA4-8D1C-CFB43CCCE8E0}">
      <dgm:prSet/>
      <dgm:spPr/>
      <dgm:t>
        <a:bodyPr/>
        <a:lstStyle/>
        <a:p>
          <a:r>
            <a:rPr lang="en-GB" dirty="0" smtClean="0"/>
            <a:t>Annual Performance Assessment and Report </a:t>
          </a:r>
        </a:p>
        <a:p>
          <a:r>
            <a:rPr lang="en-GB" dirty="0" smtClean="0"/>
            <a:t>Oct / Nov 2016</a:t>
          </a:r>
        </a:p>
      </dgm:t>
    </dgm:pt>
    <dgm:pt modelId="{CF357568-D9BC-4CA9-A228-0479F2CC8545}" type="parTrans" cxnId="{F6B25C9E-5CE7-4DC4-8163-B87A29927485}">
      <dgm:prSet/>
      <dgm:spPr/>
      <dgm:t>
        <a:bodyPr/>
        <a:lstStyle/>
        <a:p>
          <a:endParaRPr lang="en-GB"/>
        </a:p>
      </dgm:t>
    </dgm:pt>
    <dgm:pt modelId="{2DF43948-833D-412E-A4B7-64A7A3F4801F}" type="sibTrans" cxnId="{F6B25C9E-5CE7-4DC4-8163-B87A29927485}">
      <dgm:prSet/>
      <dgm:spPr/>
      <dgm:t>
        <a:bodyPr/>
        <a:lstStyle/>
        <a:p>
          <a:endParaRPr lang="en-GB"/>
        </a:p>
      </dgm:t>
    </dgm:pt>
    <dgm:pt modelId="{6B820DD4-3C82-461D-9D39-25BEC6DBCCE5}">
      <dgm:prSet/>
      <dgm:spPr/>
      <dgm:t>
        <a:bodyPr/>
        <a:lstStyle/>
        <a:p>
          <a:r>
            <a:rPr lang="en-GB" dirty="0" smtClean="0"/>
            <a:t>Publish 2017 Revised 5-year Plan</a:t>
          </a:r>
        </a:p>
        <a:p>
          <a:r>
            <a:rPr lang="en-GB" dirty="0" smtClean="0"/>
            <a:t>Jan 2017</a:t>
          </a:r>
        </a:p>
      </dgm:t>
    </dgm:pt>
    <dgm:pt modelId="{B94E376D-A65B-4732-81EB-12ADF7E0E8BE}" type="parTrans" cxnId="{066AA0CA-0A3A-4A81-99D7-6E50FCEC05D7}">
      <dgm:prSet/>
      <dgm:spPr/>
      <dgm:t>
        <a:bodyPr/>
        <a:lstStyle/>
        <a:p>
          <a:endParaRPr lang="en-GB"/>
        </a:p>
      </dgm:t>
    </dgm:pt>
    <dgm:pt modelId="{BA3844DB-E776-43BB-A9FC-995CA999E0FA}" type="sibTrans" cxnId="{066AA0CA-0A3A-4A81-99D7-6E50FCEC05D7}">
      <dgm:prSet/>
      <dgm:spPr/>
      <dgm:t>
        <a:bodyPr/>
        <a:lstStyle/>
        <a:p>
          <a:endParaRPr lang="en-GB"/>
        </a:p>
      </dgm:t>
    </dgm:pt>
    <dgm:pt modelId="{325C7337-3711-4483-A37C-20D9C2B27BBA}" type="pres">
      <dgm:prSet presAssocID="{C7EDAA55-6576-4F37-A3A5-217216C7B686}" presName="CompostProcess" presStyleCnt="0">
        <dgm:presLayoutVars>
          <dgm:dir/>
          <dgm:resizeHandles val="exact"/>
        </dgm:presLayoutVars>
      </dgm:prSet>
      <dgm:spPr/>
    </dgm:pt>
    <dgm:pt modelId="{01D567A5-6261-4C27-8D29-C3E0220997FB}" type="pres">
      <dgm:prSet presAssocID="{C7EDAA55-6576-4F37-A3A5-217216C7B686}" presName="arrow" presStyleLbl="bgShp" presStyleIdx="0" presStyleCnt="1"/>
      <dgm:spPr/>
      <dgm:t>
        <a:bodyPr/>
        <a:lstStyle/>
        <a:p>
          <a:endParaRPr lang="en-GB"/>
        </a:p>
      </dgm:t>
    </dgm:pt>
    <dgm:pt modelId="{2EA58193-236C-46F2-BDC5-361D5B99C614}" type="pres">
      <dgm:prSet presAssocID="{C7EDAA55-6576-4F37-A3A5-217216C7B686}" presName="linearProcess" presStyleCnt="0"/>
      <dgm:spPr/>
    </dgm:pt>
    <dgm:pt modelId="{1578EE4D-F960-4223-9957-0245481D790F}" type="pres">
      <dgm:prSet presAssocID="{9AD96208-49F3-4B73-A087-D06DE6961FB8}" presName="textNode" presStyleLbl="node1" presStyleIdx="0" presStyleCnt="5">
        <dgm:presLayoutVars>
          <dgm:bulletEnabled val="1"/>
        </dgm:presLayoutVars>
      </dgm:prSet>
      <dgm:spPr/>
      <dgm:t>
        <a:bodyPr/>
        <a:lstStyle/>
        <a:p>
          <a:endParaRPr lang="en-GB"/>
        </a:p>
      </dgm:t>
    </dgm:pt>
    <dgm:pt modelId="{2756D49D-4835-4555-AE61-07866D7749C8}" type="pres">
      <dgm:prSet presAssocID="{FB61B859-02DF-4A2F-AD25-01939640995B}" presName="sibTrans" presStyleCnt="0"/>
      <dgm:spPr/>
    </dgm:pt>
    <dgm:pt modelId="{680E48A1-468C-444B-853D-24E239E3BCB4}" type="pres">
      <dgm:prSet presAssocID="{C3D51BC3-2EB3-48EB-A24F-E62918275025}" presName="textNode" presStyleLbl="node1" presStyleIdx="1" presStyleCnt="5">
        <dgm:presLayoutVars>
          <dgm:bulletEnabled val="1"/>
        </dgm:presLayoutVars>
      </dgm:prSet>
      <dgm:spPr/>
      <dgm:t>
        <a:bodyPr/>
        <a:lstStyle/>
        <a:p>
          <a:endParaRPr lang="en-GB"/>
        </a:p>
      </dgm:t>
    </dgm:pt>
    <dgm:pt modelId="{51E5FEC6-75BE-4385-BF50-4F547FC8BF8A}" type="pres">
      <dgm:prSet presAssocID="{B8D8A865-AEDB-42A5-92C1-5D844D07B779}" presName="sibTrans" presStyleCnt="0"/>
      <dgm:spPr/>
    </dgm:pt>
    <dgm:pt modelId="{37AF874B-97D0-46FB-97F9-12CF4A3C0F5A}" type="pres">
      <dgm:prSet presAssocID="{97930B69-E070-40CC-B472-076C955EE73C}" presName="textNode" presStyleLbl="node1" presStyleIdx="2" presStyleCnt="5">
        <dgm:presLayoutVars>
          <dgm:bulletEnabled val="1"/>
        </dgm:presLayoutVars>
      </dgm:prSet>
      <dgm:spPr/>
      <dgm:t>
        <a:bodyPr/>
        <a:lstStyle/>
        <a:p>
          <a:endParaRPr lang="en-GB"/>
        </a:p>
      </dgm:t>
    </dgm:pt>
    <dgm:pt modelId="{96C3B969-E4D9-4787-9FF8-CFA5DD0FC6BB}" type="pres">
      <dgm:prSet presAssocID="{ACDF9886-976E-4308-8C66-EDC68D842247}" presName="sibTrans" presStyleCnt="0"/>
      <dgm:spPr/>
    </dgm:pt>
    <dgm:pt modelId="{334F4D3A-AAAB-4449-A5F6-0DA1C862F4B4}" type="pres">
      <dgm:prSet presAssocID="{41BCC3BC-05FD-4EA4-8D1C-CFB43CCCE8E0}" presName="textNode" presStyleLbl="node1" presStyleIdx="3" presStyleCnt="5">
        <dgm:presLayoutVars>
          <dgm:bulletEnabled val="1"/>
        </dgm:presLayoutVars>
      </dgm:prSet>
      <dgm:spPr/>
      <dgm:t>
        <a:bodyPr/>
        <a:lstStyle/>
        <a:p>
          <a:endParaRPr lang="en-GB"/>
        </a:p>
      </dgm:t>
    </dgm:pt>
    <dgm:pt modelId="{64D526DC-CBA8-4528-ADA7-3C0E4C281ABB}" type="pres">
      <dgm:prSet presAssocID="{2DF43948-833D-412E-A4B7-64A7A3F4801F}" presName="sibTrans" presStyleCnt="0"/>
      <dgm:spPr/>
    </dgm:pt>
    <dgm:pt modelId="{ACCFC18A-6050-4022-BBC9-29F4757CB222}" type="pres">
      <dgm:prSet presAssocID="{6B820DD4-3C82-461D-9D39-25BEC6DBCCE5}" presName="textNode" presStyleLbl="node1" presStyleIdx="4" presStyleCnt="5">
        <dgm:presLayoutVars>
          <dgm:bulletEnabled val="1"/>
        </dgm:presLayoutVars>
      </dgm:prSet>
      <dgm:spPr/>
      <dgm:t>
        <a:bodyPr/>
        <a:lstStyle/>
        <a:p>
          <a:endParaRPr lang="en-GB"/>
        </a:p>
      </dgm:t>
    </dgm:pt>
  </dgm:ptLst>
  <dgm:cxnLst>
    <dgm:cxn modelId="{066AA0CA-0A3A-4A81-99D7-6E50FCEC05D7}" srcId="{C7EDAA55-6576-4F37-A3A5-217216C7B686}" destId="{6B820DD4-3C82-461D-9D39-25BEC6DBCCE5}" srcOrd="4" destOrd="0" parTransId="{B94E376D-A65B-4732-81EB-12ADF7E0E8BE}" sibTransId="{BA3844DB-E776-43BB-A9FC-995CA999E0FA}"/>
    <dgm:cxn modelId="{F6B25C9E-5CE7-4DC4-8163-B87A29927485}" srcId="{C7EDAA55-6576-4F37-A3A5-217216C7B686}" destId="{41BCC3BC-05FD-4EA4-8D1C-CFB43CCCE8E0}" srcOrd="3" destOrd="0" parTransId="{CF357568-D9BC-4CA9-A228-0479F2CC8545}" sibTransId="{2DF43948-833D-412E-A4B7-64A7A3F4801F}"/>
    <dgm:cxn modelId="{C3B715BE-B995-C549-866E-DAC071A7FFA9}" type="presOf" srcId="{9AD96208-49F3-4B73-A087-D06DE6961FB8}" destId="{1578EE4D-F960-4223-9957-0245481D790F}" srcOrd="0" destOrd="0" presId="urn:microsoft.com/office/officeart/2005/8/layout/hProcess9"/>
    <dgm:cxn modelId="{0176F527-C9E4-4CBD-B794-CE57D4A4A5E9}" srcId="{C7EDAA55-6576-4F37-A3A5-217216C7B686}" destId="{97930B69-E070-40CC-B472-076C955EE73C}" srcOrd="2" destOrd="0" parTransId="{24E93DC6-02C9-4525-A8ED-B7186449CA5A}" sibTransId="{ACDF9886-976E-4308-8C66-EDC68D842247}"/>
    <dgm:cxn modelId="{CCE6B6BA-1E78-7D42-9E3F-1A6A9CA83839}" type="presOf" srcId="{6B820DD4-3C82-461D-9D39-25BEC6DBCCE5}" destId="{ACCFC18A-6050-4022-BBC9-29F4757CB222}" srcOrd="0" destOrd="0" presId="urn:microsoft.com/office/officeart/2005/8/layout/hProcess9"/>
    <dgm:cxn modelId="{1BCFF061-85D1-B143-BE62-75EFF0401227}" type="presOf" srcId="{97930B69-E070-40CC-B472-076C955EE73C}" destId="{37AF874B-97D0-46FB-97F9-12CF4A3C0F5A}" srcOrd="0" destOrd="0" presId="urn:microsoft.com/office/officeart/2005/8/layout/hProcess9"/>
    <dgm:cxn modelId="{28D2FEDA-AE2E-4575-BDA7-C377679BB7AB}" srcId="{C7EDAA55-6576-4F37-A3A5-217216C7B686}" destId="{9AD96208-49F3-4B73-A087-D06DE6961FB8}" srcOrd="0" destOrd="0" parTransId="{0646BCEB-409C-406B-A058-CA94B8307B7D}" sibTransId="{FB61B859-02DF-4A2F-AD25-01939640995B}"/>
    <dgm:cxn modelId="{D9B83186-1881-B74E-AB80-BBB54A269438}" type="presOf" srcId="{41BCC3BC-05FD-4EA4-8D1C-CFB43CCCE8E0}" destId="{334F4D3A-AAAB-4449-A5F6-0DA1C862F4B4}" srcOrd="0" destOrd="0" presId="urn:microsoft.com/office/officeart/2005/8/layout/hProcess9"/>
    <dgm:cxn modelId="{F6F8CC27-84A1-9248-90F4-F52CF63C2310}" type="presOf" srcId="{C7EDAA55-6576-4F37-A3A5-217216C7B686}" destId="{325C7337-3711-4483-A37C-20D9C2B27BBA}" srcOrd="0" destOrd="0" presId="urn:microsoft.com/office/officeart/2005/8/layout/hProcess9"/>
    <dgm:cxn modelId="{7E81D057-B95A-C145-B8F7-905D49B0776C}" type="presOf" srcId="{C3D51BC3-2EB3-48EB-A24F-E62918275025}" destId="{680E48A1-468C-444B-853D-24E239E3BCB4}" srcOrd="0" destOrd="0" presId="urn:microsoft.com/office/officeart/2005/8/layout/hProcess9"/>
    <dgm:cxn modelId="{E886E7BD-017D-4FF2-BAA0-0C2D74B63BB3}" srcId="{C7EDAA55-6576-4F37-A3A5-217216C7B686}" destId="{C3D51BC3-2EB3-48EB-A24F-E62918275025}" srcOrd="1" destOrd="0" parTransId="{12C07D87-141F-4405-B3E2-00D003D9174C}" sibTransId="{B8D8A865-AEDB-42A5-92C1-5D844D07B779}"/>
    <dgm:cxn modelId="{F628C3C3-DA30-7445-AFEF-5F4C56F55649}" type="presParOf" srcId="{325C7337-3711-4483-A37C-20D9C2B27BBA}" destId="{01D567A5-6261-4C27-8D29-C3E0220997FB}" srcOrd="0" destOrd="0" presId="urn:microsoft.com/office/officeart/2005/8/layout/hProcess9"/>
    <dgm:cxn modelId="{561333E8-BC82-B641-AA95-D6F10B71E7BE}" type="presParOf" srcId="{325C7337-3711-4483-A37C-20D9C2B27BBA}" destId="{2EA58193-236C-46F2-BDC5-361D5B99C614}" srcOrd="1" destOrd="0" presId="urn:microsoft.com/office/officeart/2005/8/layout/hProcess9"/>
    <dgm:cxn modelId="{72AA7D7D-B1ED-3B46-98E7-B58454625FF1}" type="presParOf" srcId="{2EA58193-236C-46F2-BDC5-361D5B99C614}" destId="{1578EE4D-F960-4223-9957-0245481D790F}" srcOrd="0" destOrd="0" presId="urn:microsoft.com/office/officeart/2005/8/layout/hProcess9"/>
    <dgm:cxn modelId="{DBFD4307-C761-814F-8809-D77D2DEB08C9}" type="presParOf" srcId="{2EA58193-236C-46F2-BDC5-361D5B99C614}" destId="{2756D49D-4835-4555-AE61-07866D7749C8}" srcOrd="1" destOrd="0" presId="urn:microsoft.com/office/officeart/2005/8/layout/hProcess9"/>
    <dgm:cxn modelId="{41761DC8-9A05-E644-8B8B-C808A64F0BE2}" type="presParOf" srcId="{2EA58193-236C-46F2-BDC5-361D5B99C614}" destId="{680E48A1-468C-444B-853D-24E239E3BCB4}" srcOrd="2" destOrd="0" presId="urn:microsoft.com/office/officeart/2005/8/layout/hProcess9"/>
    <dgm:cxn modelId="{970EC400-497D-E840-9451-5D32B8891B66}" type="presParOf" srcId="{2EA58193-236C-46F2-BDC5-361D5B99C614}" destId="{51E5FEC6-75BE-4385-BF50-4F547FC8BF8A}" srcOrd="3" destOrd="0" presId="urn:microsoft.com/office/officeart/2005/8/layout/hProcess9"/>
    <dgm:cxn modelId="{8DCFCB8B-45B3-8E44-92ED-98C465CABF4B}" type="presParOf" srcId="{2EA58193-236C-46F2-BDC5-361D5B99C614}" destId="{37AF874B-97D0-46FB-97F9-12CF4A3C0F5A}" srcOrd="4" destOrd="0" presId="urn:microsoft.com/office/officeart/2005/8/layout/hProcess9"/>
    <dgm:cxn modelId="{6054C1E0-8EFB-0649-BB5B-F1F391A0B7A8}" type="presParOf" srcId="{2EA58193-236C-46F2-BDC5-361D5B99C614}" destId="{96C3B969-E4D9-4787-9FF8-CFA5DD0FC6BB}" srcOrd="5" destOrd="0" presId="urn:microsoft.com/office/officeart/2005/8/layout/hProcess9"/>
    <dgm:cxn modelId="{FAA65984-379F-B94C-B4B8-68F0E0C9E5E0}" type="presParOf" srcId="{2EA58193-236C-46F2-BDC5-361D5B99C614}" destId="{334F4D3A-AAAB-4449-A5F6-0DA1C862F4B4}" srcOrd="6" destOrd="0" presId="urn:microsoft.com/office/officeart/2005/8/layout/hProcess9"/>
    <dgm:cxn modelId="{83B58140-582B-D846-B495-54CCDF5D5D15}" type="presParOf" srcId="{2EA58193-236C-46F2-BDC5-361D5B99C614}" destId="{64D526DC-CBA8-4528-ADA7-3C0E4C281ABB}" srcOrd="7" destOrd="0" presId="urn:microsoft.com/office/officeart/2005/8/layout/hProcess9"/>
    <dgm:cxn modelId="{A9D1E714-F43F-5B47-A60C-2FB50601A7D0}" type="presParOf" srcId="{2EA58193-236C-46F2-BDC5-361D5B99C614}" destId="{ACCFC18A-6050-4022-BBC9-29F4757CB222}" srcOrd="8"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D567A5-6261-4C27-8D29-C3E0220997FB}">
      <dsp:nvSpPr>
        <dsp:cNvPr id="0" name=""/>
        <dsp:cNvSpPr/>
      </dsp:nvSpPr>
      <dsp:spPr>
        <a:xfrm>
          <a:off x="407193" y="0"/>
          <a:ext cx="4614862"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578EE4D-F960-4223-9957-0245481D790F}">
      <dsp:nvSpPr>
        <dsp:cNvPr id="0" name=""/>
        <dsp:cNvSpPr/>
      </dsp:nvSpPr>
      <dsp:spPr>
        <a:xfrm>
          <a:off x="2385" y="845820"/>
          <a:ext cx="1043168" cy="1127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Inaugural 5-year Plan established </a:t>
          </a:r>
        </a:p>
        <a:p>
          <a:pPr lvl="0" algn="ctr" defTabSz="444500">
            <a:lnSpc>
              <a:spcPct val="90000"/>
            </a:lnSpc>
            <a:spcBef>
              <a:spcPct val="0"/>
            </a:spcBef>
            <a:spcAft>
              <a:spcPct val="35000"/>
            </a:spcAft>
          </a:pPr>
          <a:r>
            <a:rPr lang="en-GB" sz="1000" kern="1200" dirty="0" smtClean="0"/>
            <a:t>Feb 2016</a:t>
          </a:r>
          <a:endParaRPr lang="en-GB" sz="1000" kern="1200" dirty="0"/>
        </a:p>
      </dsp:txBody>
      <dsp:txXfrm>
        <a:off x="53308" y="896743"/>
        <a:ext cx="941322" cy="1025914"/>
      </dsp:txXfrm>
    </dsp:sp>
    <dsp:sp modelId="{680E48A1-468C-444B-853D-24E239E3BCB4}">
      <dsp:nvSpPr>
        <dsp:cNvPr id="0" name=""/>
        <dsp:cNvSpPr/>
      </dsp:nvSpPr>
      <dsp:spPr>
        <a:xfrm>
          <a:off x="1097713" y="845820"/>
          <a:ext cx="1043168" cy="1127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Mid-Year assessment June / July 2016</a:t>
          </a:r>
          <a:endParaRPr lang="en-GB" sz="1000" kern="1200" dirty="0"/>
        </a:p>
      </dsp:txBody>
      <dsp:txXfrm>
        <a:off x="1148636" y="896743"/>
        <a:ext cx="941322" cy="1025914"/>
      </dsp:txXfrm>
    </dsp:sp>
    <dsp:sp modelId="{37AF874B-97D0-46FB-97F9-12CF4A3C0F5A}">
      <dsp:nvSpPr>
        <dsp:cNvPr id="0" name=""/>
        <dsp:cNvSpPr/>
      </dsp:nvSpPr>
      <dsp:spPr>
        <a:xfrm>
          <a:off x="2193040" y="845820"/>
          <a:ext cx="1043168" cy="1127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Performance progress report for Brussels </a:t>
          </a:r>
        </a:p>
        <a:p>
          <a:pPr lvl="0" algn="ctr" defTabSz="444500">
            <a:lnSpc>
              <a:spcPct val="90000"/>
            </a:lnSpc>
            <a:spcBef>
              <a:spcPct val="0"/>
            </a:spcBef>
            <a:spcAft>
              <a:spcPct val="35000"/>
            </a:spcAft>
          </a:pPr>
          <a:r>
            <a:rPr lang="en-GB" sz="1000" kern="1200" dirty="0" smtClean="0"/>
            <a:t>Sep 2016</a:t>
          </a:r>
          <a:endParaRPr lang="en-GB" sz="1000" kern="1200" dirty="0"/>
        </a:p>
      </dsp:txBody>
      <dsp:txXfrm>
        <a:off x="2243963" y="896743"/>
        <a:ext cx="941322" cy="1025914"/>
      </dsp:txXfrm>
    </dsp:sp>
    <dsp:sp modelId="{334F4D3A-AAAB-4449-A5F6-0DA1C862F4B4}">
      <dsp:nvSpPr>
        <dsp:cNvPr id="0" name=""/>
        <dsp:cNvSpPr/>
      </dsp:nvSpPr>
      <dsp:spPr>
        <a:xfrm>
          <a:off x="3288367" y="845820"/>
          <a:ext cx="1043168" cy="1127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Annual Performance Assessment and Report </a:t>
          </a:r>
        </a:p>
        <a:p>
          <a:pPr lvl="0" algn="ctr" defTabSz="444500">
            <a:lnSpc>
              <a:spcPct val="90000"/>
            </a:lnSpc>
            <a:spcBef>
              <a:spcPct val="0"/>
            </a:spcBef>
            <a:spcAft>
              <a:spcPct val="35000"/>
            </a:spcAft>
          </a:pPr>
          <a:r>
            <a:rPr lang="en-GB" sz="1000" kern="1200" dirty="0" smtClean="0"/>
            <a:t>Oct / Nov 2016</a:t>
          </a:r>
        </a:p>
      </dsp:txBody>
      <dsp:txXfrm>
        <a:off x="3339290" y="896743"/>
        <a:ext cx="941322" cy="1025914"/>
      </dsp:txXfrm>
    </dsp:sp>
    <dsp:sp modelId="{ACCFC18A-6050-4022-BBC9-29F4757CB222}">
      <dsp:nvSpPr>
        <dsp:cNvPr id="0" name=""/>
        <dsp:cNvSpPr/>
      </dsp:nvSpPr>
      <dsp:spPr>
        <a:xfrm>
          <a:off x="4383695" y="845820"/>
          <a:ext cx="1043168" cy="1127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Publish 2017 Revised 5-year Plan</a:t>
          </a:r>
        </a:p>
        <a:p>
          <a:pPr lvl="0" algn="ctr" defTabSz="444500">
            <a:lnSpc>
              <a:spcPct val="90000"/>
            </a:lnSpc>
            <a:spcBef>
              <a:spcPct val="0"/>
            </a:spcBef>
            <a:spcAft>
              <a:spcPct val="35000"/>
            </a:spcAft>
          </a:pPr>
          <a:r>
            <a:rPr lang="en-GB" sz="1000" kern="1200" dirty="0" smtClean="0"/>
            <a:t>Jan 2017</a:t>
          </a:r>
        </a:p>
      </dsp:txBody>
      <dsp:txXfrm>
        <a:off x="4434618" y="896743"/>
        <a:ext cx="941322" cy="102591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Placeholder1</b:Tag>
    <b:SourceType>Report</b:SourceType>
    <b:Guid>{B23709D3-A1A8-4636-A548-7CB7BAF0CBA8}</b:Guid>
    <b:Author>
      <b:Author>
        <b:NameList>
          <b:Person>
            <b:Last>Nguyen</b:Last>
            <b:First>Cung</b:First>
            <b:Middle>Dinh</b:Middle>
          </b:Person>
          <b:Person>
            <b:Last>al</b:Last>
            <b:First>et</b:First>
          </b:Person>
        </b:NameList>
      </b:Author>
    </b:Author>
    <b:Title>Report No. 2: A Survey on the Preparation, Appraisal, and Approval of Investment Intentions and Decisions</b:Title>
    <b:Year>2015</b:Year>
    <b:Publisher>World Bank and CIEM</b:Publisher>
    <b:City>Hanoi, Vietnam</b:City>
    <b:RefOrder>1</b:RefOrder>
  </b:Source>
</b:Sources>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4.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DF5464-CC23-874D-92FD-04F6CF16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24968</Words>
  <Characters>142321</Characters>
  <Application>Microsoft Macintosh Word</Application>
  <DocSecurity>0</DocSecurity>
  <Lines>1186</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Laing</dc:creator>
  <cp:keywords/>
  <dc:description/>
  <cp:lastModifiedBy>Andrew Laing</cp:lastModifiedBy>
  <cp:revision>3</cp:revision>
  <cp:lastPrinted>2016-07-24T18:10:00Z</cp:lastPrinted>
  <dcterms:created xsi:type="dcterms:W3CDTF">2016-07-24T18:11:00Z</dcterms:created>
  <dcterms:modified xsi:type="dcterms:W3CDTF">2016-07-24T18:12:00Z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